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0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“智慧巴中”建设工作方案</w:t>
      </w:r>
    </w:p>
    <w:p>
      <w:pPr>
        <w:pStyle w:val="18"/>
        <w:bidi w:val="0"/>
        <w:ind w:left="0" w:firstLine="0"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征求意见</w:t>
      </w:r>
      <w:r>
        <w:rPr>
          <w:rFonts w:hint="eastAsia"/>
          <w:lang w:val="en-US" w:eastAsia="zh-CN"/>
        </w:rPr>
        <w:t>稿）</w:t>
      </w:r>
    </w:p>
    <w:p>
      <w:pPr>
        <w:pStyle w:val="15"/>
        <w:bidi w:val="0"/>
        <w:rPr>
          <w:rFonts w:hint="eastAsia"/>
          <w:lang w:val="en-US" w:eastAsia="zh-CN"/>
        </w:rPr>
      </w:pPr>
    </w:p>
    <w:p>
      <w:pPr>
        <w:pStyle w:val="15"/>
        <w:bidi w:val="0"/>
        <w:rPr>
          <w:lang w:val="en-US" w:eastAsia="zh-CN"/>
        </w:rPr>
      </w:pPr>
      <w:r>
        <w:rPr>
          <w:lang w:val="en-US" w:eastAsia="zh-CN"/>
        </w:rPr>
        <w:t>为深入贯彻落实国省关于数字经济、数字社会和数字政府建设决策部署，按照我市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十四五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信息化和数字经济发展规划，结合我市实际，着力深化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智慧巴中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建设，以信息化支撑政府治理体系和城市治理能力现代化，打造数字经济新优势，加快数字社会建设新步伐，提升数字政府服务水平，营造数字化发展生态，以更大力度建设网络强市、数字巴中、智慧社会。</w:t>
      </w:r>
    </w:p>
    <w:p>
      <w:pPr>
        <w:pStyle w:val="21"/>
        <w:bidi w:val="0"/>
        <w:ind w:left="0" w:firstLine="640" w:firstLineChars="200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ascii="Times New Roman" w:hAnsi="Times New Roman" w:cs="Times New Roman"/>
          <w:lang w:val="en-US" w:eastAsia="zh-CN"/>
        </w:rPr>
        <w:t>总体要求</w:t>
      </w:r>
    </w:p>
    <w:p>
      <w:pPr>
        <w:pStyle w:val="15"/>
        <w:bidi w:val="0"/>
        <w:rPr>
          <w:rFonts w:ascii="Times New Roman" w:hAnsi="Times New Roman" w:cs="Times New Roman"/>
          <w:lang w:val="en-US" w:eastAsia="zh-CN"/>
        </w:rPr>
      </w:pPr>
      <w:r>
        <w:rPr>
          <w:rFonts w:hint="eastAsia" w:ascii="CESI楷体-GB2312" w:eastAsia="CESI楷体-GB2312"/>
          <w:b/>
          <w:bCs/>
          <w:kern w:val="0"/>
          <w:sz w:val="32"/>
          <w:szCs w:val="32"/>
          <w:lang w:val="en-US" w:eastAsia="zh-CN"/>
        </w:rPr>
        <w:t>（一）指导思想。</w:t>
      </w:r>
      <w:r>
        <w:rPr>
          <w:rFonts w:ascii="Times New Roman" w:hAnsi="Times New Roman" w:cs="Times New Roman"/>
          <w:lang w:val="en-US" w:eastAsia="zh-CN"/>
        </w:rPr>
        <w:t>以习近平新时代中国特色社会主义思想为指导，深入践行人民城市理念，坚持改革精神和创新思维，充分发挥数据的基础资源作用和创新引擎作用，系统设计</w:t>
      </w:r>
      <w:r>
        <w:rPr>
          <w:rStyle w:val="16"/>
          <w:rFonts w:hint="eastAsia"/>
          <w:lang w:val="en-US" w:eastAsia="zh-CN"/>
        </w:rPr>
        <w:t>“</w:t>
      </w:r>
      <w:r>
        <w:rPr>
          <w:rStyle w:val="16"/>
          <w:lang w:val="en-US" w:eastAsia="zh-CN"/>
        </w:rPr>
        <w:t>智慧巴中</w:t>
      </w:r>
      <w:r>
        <w:rPr>
          <w:rStyle w:val="16"/>
          <w:rFonts w:hint="eastAsia"/>
          <w:lang w:val="en-US" w:eastAsia="zh-CN"/>
        </w:rPr>
        <w:t>”“</w:t>
      </w:r>
      <w:r>
        <w:rPr>
          <w:rStyle w:val="16"/>
          <w:lang w:val="en-US" w:eastAsia="zh-CN"/>
        </w:rPr>
        <w:t>四横两纵</w:t>
      </w:r>
      <w:r>
        <w:rPr>
          <w:rStyle w:val="16"/>
          <w:rFonts w:hint="eastAsia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总体架构，建立健全纵向到底、横向到边、线上线下协同的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ascii="Times New Roman" w:hAnsi="Times New Roman" w:cs="Times New Roman"/>
          <w:lang w:val="en-US" w:eastAsia="zh-CN"/>
        </w:rPr>
        <w:t>大综合一体化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城市综合治理体制机制和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ascii="Times New Roman" w:hAnsi="Times New Roman" w:cs="Times New Roman"/>
          <w:lang w:val="en-US" w:eastAsia="zh-CN"/>
        </w:rPr>
        <w:t>感知发现、分析研判、指挥调度、实时反馈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的闭环管理体系，全面赋能巴中经济社会高质量发展。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楷体-GB2312" w:eastAsia="CESI楷体-GB2312" w:cs="Times New Roman"/>
          <w:b/>
          <w:bCs/>
          <w:highlight w:val="none"/>
          <w:lang w:val="en-US" w:eastAsia="zh-CN" w:bidi="ar-SA"/>
        </w:rPr>
      </w:pPr>
      <w:r>
        <w:rPr>
          <w:rFonts w:hint="eastAsia" w:ascii="CESI楷体-GB2312" w:eastAsia="CESI楷体-GB2312" w:cs="Times New Roman"/>
          <w:b/>
          <w:bCs/>
          <w:highlight w:val="none"/>
          <w:lang w:val="en-US" w:eastAsia="zh-CN" w:bidi="ar-SA"/>
        </w:rPr>
        <w:t>（二）建设原则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以人为本，协同高效。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坚持以人民为中心，建立跨部门、跨层级、跨区域的协同工作机制，促进业务融合、应用协同，切实解决企业、市民的急难愁盼问题，增强人民群众获得感、幸福感、安全感。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需求导向，集约共享。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坚持全市一盘棋，以各级各部门建设共性需求为导向，积极推进信息基础设施、数据资源体系和共性支撑平台在市级层面整合利旧与集约建设，避免重复建设、分散建设、多头建设，消除数字壁垒。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场景牵引，改革创新。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发挥数据要素协同优化、复用增效、融合创新作用，打造实战中管用、基层干部爱用、群众感到好用的典型场景，从业务场景构建中找到改革突破口，推进自上而下的体制机制改革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创新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安全韧性，赋能发展。</w:t>
      </w:r>
      <w:r>
        <w:rPr>
          <w:rFonts w:ascii="Times New Roman" w:hAnsi="Times New Roman" w:eastAsia="仿宋_GB2312"/>
          <w:bCs/>
          <w:snapToGrid w:val="0"/>
          <w:color w:val="000000"/>
          <w:kern w:val="0"/>
          <w:sz w:val="32"/>
          <w:szCs w:val="32"/>
        </w:rPr>
        <w:t>坚持把安全贯穿“智慧巴中”建设全过程，深度运用商用密码保障核心数据安全,坚决守住安全底线,构建安全可靠的智慧城市安全保障体系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，为巴中数字政府、数字社会、数字经济建设保驾护航。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9"/>
          <w:rFonts w:hint="eastAsia"/>
          <w:lang w:val="en-US" w:eastAsia="zh-CN"/>
        </w:rPr>
        <w:t>（三）</w:t>
      </w:r>
      <w:r>
        <w:rPr>
          <w:rStyle w:val="19"/>
          <w:lang w:val="en-US" w:eastAsia="zh-CN"/>
        </w:rPr>
        <w:t>建设目标。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一年形成重点能力，两年发挥中枢效能，三年展现转型成效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建设目标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，到2026年，基本实现数字基础设施集约共享、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智慧巴中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运行中枢高效运转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数字经济、数字治理、数字服务、数字安全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大领域智慧化水平大幅提升，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智慧医疗、智慧教育等公共服务更加普惠便捷，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城市数字化治理体系不断健全，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“智慧巴中”应用场景日益广泛、触手可及，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人民群众的获得感、幸福感、安全感显著增强。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二、总体架构</w:t>
      </w:r>
    </w:p>
    <w:p>
      <w:pPr>
        <w:pStyle w:val="15"/>
        <w:bidi w:val="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/>
          <w:b w:val="0"/>
          <w:bCs/>
          <w:lang w:val="en-US" w:eastAsia="zh-CN"/>
        </w:rPr>
        <w:t>打造“</w:t>
      </w:r>
      <w:r>
        <w:rPr>
          <w:rStyle w:val="16"/>
          <w:b w:val="0"/>
          <w:bCs/>
          <w:lang w:val="en-US" w:eastAsia="zh-CN"/>
        </w:rPr>
        <w:t>1</w:t>
      </w:r>
      <w:r>
        <w:rPr>
          <w:rStyle w:val="16"/>
          <w:rFonts w:hint="eastAsia"/>
          <w:b w:val="0"/>
          <w:bCs/>
          <w:lang w:val="en-US" w:eastAsia="zh-CN"/>
        </w:rPr>
        <w:t>341”</w:t>
      </w:r>
      <w:r>
        <w:rPr>
          <w:rStyle w:val="16"/>
          <w:b w:val="0"/>
          <w:bCs/>
          <w:lang w:val="en-US" w:eastAsia="zh-CN"/>
        </w:rPr>
        <w:t>总体</w:t>
      </w:r>
      <w:r>
        <w:rPr>
          <w:rStyle w:val="16"/>
          <w:rFonts w:hint="eastAsia"/>
          <w:b w:val="0"/>
          <w:bCs/>
          <w:lang w:val="en-US" w:eastAsia="zh-CN"/>
        </w:rPr>
        <w:t>架构</w:t>
      </w:r>
      <w:r>
        <w:rPr>
          <w:rStyle w:val="16"/>
          <w:b w:val="0"/>
          <w:bCs/>
          <w:lang w:val="en-US" w:eastAsia="zh-CN"/>
        </w:rPr>
        <w:t>，</w:t>
      </w:r>
      <w:r>
        <w:rPr>
          <w:rStyle w:val="16"/>
          <w:rFonts w:hint="eastAsia"/>
          <w:b w:val="0"/>
          <w:bCs/>
          <w:lang w:val="en-US" w:eastAsia="zh-CN"/>
        </w:rPr>
        <w:t>深入推进“智慧巴中”建设，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即一体化智能平台，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即市、县（区）、乡镇（街道）三级城运平台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（节点）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即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数字经济、数字治理、数字服务、数字安全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四类应用体系，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最后“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即一个基层智治体系。</w:t>
      </w:r>
    </w:p>
    <w:p>
      <w:pPr>
        <w:pStyle w:val="15"/>
        <w:bidi w:val="0"/>
        <w:ind w:left="0" w:firstLine="0" w:firstLineChars="0"/>
        <w:jc w:val="center"/>
        <w:rPr>
          <w:b/>
          <w:bCs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56515</wp:posOffset>
            </wp:positionV>
            <wp:extent cx="6226810" cy="340042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34004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“1341”总体架构图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、建设模式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及实施路径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6"/>
          <w:rFonts w:hint="eastAsia"/>
          <w:lang w:eastAsia="zh-CN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“整合资源、集成能力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统筹共建”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的原则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，整合智慧医疗领域相关资源，通过市场化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多元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投资方式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统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筹建设数字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底座和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共性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支撑能力</w:t>
      </w:r>
      <w:r>
        <w:rPr>
          <w:rStyle w:val="16"/>
          <w:rFonts w:hint="eastAsia"/>
          <w:lang w:val="en-US" w:eastAsia="zh-CN"/>
        </w:rPr>
        <w:t>（</w:t>
      </w:r>
      <w:r>
        <w:rPr>
          <w:rStyle w:val="16"/>
          <w:lang w:val="en-US" w:eastAsia="zh-CN"/>
        </w:rPr>
        <w:t>一体化智能平台、市级城运平台</w:t>
      </w:r>
      <w:r>
        <w:rPr>
          <w:rStyle w:val="16"/>
          <w:rFonts w:hint="eastAsia"/>
          <w:lang w:val="en-US" w:eastAsia="zh-CN"/>
        </w:rPr>
        <w:t>、</w:t>
      </w:r>
      <w:r>
        <w:rPr>
          <w:rStyle w:val="16"/>
          <w:lang w:val="en-US" w:eastAsia="zh-CN"/>
        </w:rPr>
        <w:t>县乡城运共性能力、重点场景、基层智治体系等核心支撑体系</w:t>
      </w:r>
      <w:r>
        <w:rPr>
          <w:rStyle w:val="16"/>
          <w:rFonts w:hint="eastAsia"/>
          <w:lang w:val="en-US" w:eastAsia="zh-CN"/>
        </w:rPr>
        <w:t>）。</w:t>
      </w:r>
      <w:r>
        <w:rPr>
          <w:rStyle w:val="16"/>
        </w:rPr>
        <w:t>各</w:t>
      </w:r>
      <w:r>
        <w:rPr>
          <w:rStyle w:val="16"/>
          <w:lang w:val="en-US" w:eastAsia="zh-CN"/>
        </w:rPr>
        <w:t>行业</w:t>
      </w:r>
      <w:r>
        <w:rPr>
          <w:rStyle w:val="16"/>
          <w:rFonts w:hint="eastAsia"/>
          <w:lang w:val="en-US" w:eastAsia="zh-CN"/>
        </w:rPr>
        <w:t>领域</w:t>
      </w:r>
      <w:r>
        <w:rPr>
          <w:rStyle w:val="16"/>
        </w:rPr>
        <w:t>应用和县乡城运平台（节点）</w:t>
      </w:r>
      <w:r>
        <w:rPr>
          <w:rStyle w:val="16"/>
          <w:lang w:val="en-US" w:eastAsia="zh-CN"/>
        </w:rPr>
        <w:t>场地及个性化需求</w:t>
      </w:r>
      <w:r>
        <w:rPr>
          <w:rStyle w:val="16"/>
        </w:rPr>
        <w:t>，由市级部门和县</w:t>
      </w:r>
      <w:r>
        <w:rPr>
          <w:rStyle w:val="16"/>
          <w:lang w:eastAsia="zh-CN"/>
        </w:rPr>
        <w:t>（</w:t>
      </w:r>
      <w:r>
        <w:rPr>
          <w:rStyle w:val="16"/>
        </w:rPr>
        <w:t>区</w:t>
      </w:r>
      <w:r>
        <w:rPr>
          <w:rStyle w:val="16"/>
          <w:lang w:eastAsia="zh-CN"/>
        </w:rPr>
        <w:t>）</w:t>
      </w:r>
      <w:r>
        <w:rPr>
          <w:rStyle w:val="16"/>
        </w:rPr>
        <w:t>政府在充分利旧</w:t>
      </w:r>
      <w:r>
        <w:rPr>
          <w:rStyle w:val="16"/>
          <w:rFonts w:hint="eastAsia"/>
          <w:lang w:val="en-US" w:eastAsia="zh-CN"/>
        </w:rPr>
        <w:t>和标准统一</w:t>
      </w:r>
      <w:r>
        <w:rPr>
          <w:rStyle w:val="16"/>
        </w:rPr>
        <w:t>的基础上，按</w:t>
      </w:r>
      <w:r>
        <w:rPr>
          <w:rStyle w:val="16"/>
          <w:rFonts w:hint="eastAsia"/>
          <w:lang w:eastAsia="zh-CN"/>
        </w:rPr>
        <w:t>“</w:t>
      </w:r>
      <w:r>
        <w:rPr>
          <w:rStyle w:val="16"/>
        </w:rPr>
        <w:t>多元融资、集约统建</w:t>
      </w:r>
      <w:r>
        <w:rPr>
          <w:rStyle w:val="16"/>
          <w:rFonts w:hint="eastAsia"/>
          <w:lang w:eastAsia="zh-CN"/>
        </w:rPr>
        <w:t>”</w:t>
      </w:r>
      <w:r>
        <w:rPr>
          <w:rStyle w:val="16"/>
        </w:rPr>
        <w:t>的原则筹资建设</w:t>
      </w:r>
      <w:r>
        <w:rPr>
          <w:rStyle w:val="16"/>
          <w:rFonts w:hint="eastAsia"/>
          <w:lang w:eastAsia="zh-CN"/>
        </w:rPr>
        <w:t>。</w:t>
      </w:r>
    </w:p>
    <w:p>
      <w:pPr>
        <w:pStyle w:val="15"/>
        <w:bidi w:val="0"/>
        <w:ind w:left="0" w:firstLine="642" w:firstLineChars="200"/>
        <w:rPr>
          <w:rFonts w:hint="eastAsia" w:ascii="Times New Roman" w:hAnsi="Times New Roman" w:cs="Times New Roman"/>
          <w:lang w:eastAsia="zh-CN"/>
        </w:rPr>
      </w:pPr>
      <w:r>
        <w:rPr>
          <w:rStyle w:val="19"/>
          <w:rFonts w:hint="eastAsia"/>
          <w:lang w:val="en-US" w:eastAsia="zh-CN"/>
        </w:rPr>
        <w:t>（一）整合需求。</w:t>
      </w:r>
      <w:r>
        <w:rPr>
          <w:rStyle w:val="16"/>
          <w:rFonts w:hint="eastAsia"/>
          <w:lang w:val="en-US" w:eastAsia="zh-CN"/>
        </w:rPr>
        <w:t>为助推卫生健康事业高质量发展，</w:t>
      </w:r>
      <w:r>
        <w:rPr>
          <w:rFonts w:hint="eastAsia" w:ascii="Times New Roman" w:hAnsi="Times New Roman" w:cs="Times New Roman"/>
          <w:lang w:val="en-US" w:eastAsia="zh-CN"/>
        </w:rPr>
        <w:t>结合医疗领域体制机制改革要求，</w:t>
      </w:r>
      <w:r>
        <w:rPr>
          <w:rStyle w:val="16"/>
          <w:rFonts w:hint="eastAsia"/>
          <w:lang w:val="en-US" w:eastAsia="zh-CN"/>
        </w:rPr>
        <w:t>深入推动全市医疗机构精细化管理，由市卫生健康委</w:t>
      </w:r>
      <w:r>
        <w:rPr>
          <w:rFonts w:hint="eastAsia" w:ascii="Times New Roman" w:hAnsi="Times New Roman" w:cs="Times New Roman"/>
          <w:lang w:val="en-US" w:eastAsia="zh-CN"/>
        </w:rPr>
        <w:t>整合全市二级以上公立医疗机构医疗影像云、</w:t>
      </w:r>
      <w:r>
        <w:rPr>
          <w:rFonts w:ascii="Times New Roman" w:hAnsi="Times New Roman" w:cs="Times New Roman"/>
        </w:rPr>
        <w:t>医疗物资供应链服务系统</w:t>
      </w:r>
      <w:r>
        <w:rPr>
          <w:rFonts w:hint="eastAsia" w:ascii="Times New Roman" w:hAnsi="Times New Roman" w:cs="Times New Roman"/>
          <w:lang w:val="en-US" w:eastAsia="zh-CN"/>
        </w:rPr>
        <w:t>等“智慧医疗”平台建设和智能化管理服务需求，市营商环境和数据局</w:t>
      </w:r>
      <w:r>
        <w:rPr>
          <w:rStyle w:val="16"/>
          <w:rFonts w:hint="eastAsia"/>
          <w:lang w:val="en-US" w:eastAsia="zh-CN"/>
        </w:rPr>
        <w:t>纳入</w:t>
      </w:r>
      <w:r>
        <w:rPr>
          <w:rFonts w:hint="eastAsia" w:ascii="Times New Roman" w:hAnsi="Times New Roman" w:eastAsia="楷体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进行统筹规划建设，</w:t>
      </w:r>
      <w:r>
        <w:rPr>
          <w:rStyle w:val="16"/>
          <w:rFonts w:hint="eastAsia"/>
          <w:lang w:val="en-US" w:eastAsia="zh-CN"/>
        </w:rPr>
        <w:t>市卫生健康委</w:t>
      </w:r>
      <w:r>
        <w:rPr>
          <w:rFonts w:hint="eastAsia" w:ascii="Times New Roman" w:hAnsi="Times New Roman" w:cs="Times New Roman"/>
          <w:lang w:val="en-US" w:eastAsia="zh-CN"/>
        </w:rPr>
        <w:t>负责逐步推广使用（首批在市中心医院、市中医院试点部署），通过市场化方式运营，实现“智慧巴中”和“智慧医疗”建设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15"/>
        <w:rPr>
          <w:rFonts w:ascii="Times New Roman" w:hAnsi="Times New Roman" w:cs="Times New Roman"/>
          <w:strike/>
          <w:dstrike w:val="0"/>
        </w:rPr>
      </w:pPr>
      <w:r>
        <w:rPr>
          <w:rFonts w:hint="eastAsia" w:ascii="CESI楷体-GB2312" w:eastAsia="CESI楷体-GB2312" w:cs="Times New Roman"/>
          <w:b/>
          <w:bCs/>
        </w:rPr>
        <w:t>（</w:t>
      </w:r>
      <w:r>
        <w:rPr>
          <w:rFonts w:hint="eastAsia" w:ascii="CESI楷体-GB2312" w:eastAsia="CESI楷体-GB2312" w:cs="Times New Roman"/>
          <w:b/>
          <w:bCs/>
          <w:lang w:val="en-US" w:eastAsia="zh-CN"/>
        </w:rPr>
        <w:t>二</w:t>
      </w:r>
      <w:r>
        <w:rPr>
          <w:rFonts w:hint="eastAsia" w:ascii="CESI楷体-GB2312" w:eastAsia="CESI楷体-GB2312" w:cs="Times New Roman"/>
          <w:b/>
          <w:bCs/>
        </w:rPr>
        <w:t>）</w:t>
      </w:r>
      <w:r>
        <w:rPr>
          <w:rFonts w:hint="eastAsia" w:ascii="CESI楷体-GB2312" w:eastAsia="CESI楷体-GB2312" w:cs="Times New Roman"/>
          <w:b/>
          <w:bCs/>
          <w:lang w:val="en-US" w:eastAsia="zh-CN"/>
        </w:rPr>
        <w:t>选取主体</w:t>
      </w:r>
      <w:r>
        <w:rPr>
          <w:rFonts w:hint="eastAsia" w:ascii="CESI楷体-GB2312" w:eastAsia="CESI楷体-GB2312" w:cs="Times New Roman"/>
          <w:b/>
          <w:bCs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由市营商环境和数据局面向市场</w:t>
      </w:r>
      <w:r>
        <w:rPr>
          <w:rFonts w:ascii="Times New Roman" w:hAnsi="Times New Roman" w:cs="Times New Roman"/>
        </w:rPr>
        <w:t>依法依规</w:t>
      </w:r>
      <w:r>
        <w:rPr>
          <w:rFonts w:hint="eastAsia" w:ascii="Times New Roman" w:hAnsi="Times New Roman" w:cs="Times New Roman"/>
          <w:lang w:val="en-US" w:eastAsia="zh-CN"/>
        </w:rPr>
        <w:t>公开选取</w:t>
      </w:r>
      <w:r>
        <w:rPr>
          <w:rFonts w:ascii="Times New Roman" w:hAnsi="Times New Roman" w:cs="Times New Roman"/>
        </w:rPr>
        <w:t>相关</w:t>
      </w:r>
      <w:r>
        <w:rPr>
          <w:rFonts w:hint="eastAsia" w:ascii="Times New Roman" w:hAnsi="Times New Roman" w:cs="Times New Roman"/>
          <w:lang w:val="en-US" w:eastAsia="zh-CN"/>
        </w:rPr>
        <w:t>平台系统投资建设运营主体（以下简称建设运营主体），</w:t>
      </w:r>
      <w:r>
        <w:rPr>
          <w:rFonts w:ascii="Times New Roman" w:hAnsi="Times New Roman" w:cs="Times New Roman"/>
        </w:rPr>
        <w:t>按约定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ascii="Times New Roman" w:hAnsi="Times New Roman" w:cs="Times New Roman"/>
        </w:rPr>
        <w:t>智慧医疗领域和智慧城市建设业务，推进平台建设。</w:t>
      </w:r>
      <w:r>
        <w:rPr>
          <w:rStyle w:val="16"/>
          <w:rFonts w:hint="eastAsia"/>
          <w:lang w:val="en-US" w:eastAsia="zh-CN"/>
        </w:rPr>
        <w:t>建设运营主体在</w:t>
      </w:r>
      <w:r>
        <w:rPr>
          <w:rFonts w:hint="eastAsia" w:ascii="Times New Roman" w:hAnsi="Times New Roman" w:cs="Times New Roman"/>
          <w:lang w:val="en-US" w:eastAsia="zh-CN"/>
        </w:rPr>
        <w:t>建设运营第一年</w:t>
      </w:r>
      <w:r>
        <w:rPr>
          <w:rFonts w:ascii="Times New Roman" w:hAnsi="Times New Roman" w:cs="Times New Roman"/>
        </w:rPr>
        <w:t>至少应保证实缴5000万元</w:t>
      </w:r>
      <w:r>
        <w:rPr>
          <w:rFonts w:hint="eastAsia" w:ascii="Times New Roman" w:hAnsi="Times New Roman" w:cs="Times New Roman"/>
          <w:lang w:eastAsia="zh-CN"/>
        </w:rPr>
        <w:t>用于</w:t>
      </w:r>
      <w:r>
        <w:rPr>
          <w:rFonts w:hint="eastAsia" w:ascii="Times New Roman" w:hAnsi="Times New Roman" w:eastAsia="楷体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核心支撑</w:t>
      </w:r>
      <w:r>
        <w:rPr>
          <w:rFonts w:ascii="Times New Roman" w:hAnsi="Times New Roman" w:cs="Times New Roman"/>
          <w:lang w:eastAsia="zh-CN"/>
        </w:rPr>
        <w:t>体系建设</w:t>
      </w:r>
      <w:r>
        <w:rPr>
          <w:rFonts w:hint="eastAsia" w:ascii="Times New Roman" w:hAnsi="Times New Roman" w:cs="Times New Roman"/>
          <w:lang w:eastAsia="zh-CN"/>
        </w:rPr>
        <w:t>，并</w:t>
      </w:r>
      <w:r>
        <w:rPr>
          <w:rFonts w:ascii="Times New Roman" w:hAnsi="Times New Roman" w:cs="Times New Roman"/>
          <w:lang w:val="en-US" w:eastAsia="zh-CN"/>
        </w:rPr>
        <w:t>在建设过程中持续追加投资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pStyle w:val="15"/>
        <w:rPr>
          <w:rFonts w:ascii="Times New Roman" w:hAnsi="Times New Roman" w:cs="Times New Roman"/>
        </w:rPr>
      </w:pPr>
      <w:r>
        <w:rPr>
          <w:rFonts w:hint="eastAsia" w:ascii="CESI楷体-GB2312" w:eastAsia="CESI楷体-GB2312" w:cs="Times New Roman"/>
          <w:b/>
          <w:bCs/>
        </w:rPr>
        <w:t>（</w:t>
      </w:r>
      <w:r>
        <w:rPr>
          <w:rFonts w:hint="eastAsia" w:ascii="CESI楷体-GB2312" w:eastAsia="CESI楷体-GB2312" w:cs="Times New Roman"/>
          <w:b/>
          <w:bCs/>
          <w:lang w:val="en-US" w:eastAsia="zh-CN"/>
        </w:rPr>
        <w:t>三</w:t>
      </w:r>
      <w:r>
        <w:rPr>
          <w:rFonts w:hint="eastAsia" w:ascii="CESI楷体-GB2312" w:eastAsia="CESI楷体-GB2312" w:cs="Times New Roman"/>
          <w:b/>
          <w:bCs/>
        </w:rPr>
        <w:t>）运维运营。</w:t>
      </w:r>
      <w:r>
        <w:rPr>
          <w:rFonts w:hint="eastAsia" w:ascii="Times New Roman" w:hAnsi="Times New Roman" w:eastAsia="楷体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核心支撑</w:t>
      </w:r>
      <w:r>
        <w:rPr>
          <w:rFonts w:ascii="Times New Roman" w:hAnsi="Times New Roman" w:cs="Times New Roman"/>
          <w:lang w:eastAsia="zh-CN"/>
        </w:rPr>
        <w:t>体系建设</w:t>
      </w: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lang w:val="en-US" w:eastAsia="zh-CN"/>
        </w:rPr>
        <w:t>建设运营主体</w:t>
      </w:r>
      <w:r>
        <w:rPr>
          <w:rFonts w:ascii="Times New Roman" w:hAnsi="Times New Roman" w:cs="Times New Roman"/>
        </w:rPr>
        <w:t>出资，建设好后政府通过购买服务方式实现长效运营（政府不购买前期建设费用，仅购买平台后期运行维护及需求变更服务）。</w:t>
      </w:r>
      <w:r>
        <w:rPr>
          <w:rStyle w:val="16"/>
          <w:rFonts w:hint="eastAsia"/>
          <w:lang w:val="en-US" w:eastAsia="zh-CN"/>
        </w:rPr>
        <w:t>建设运营主体</w:t>
      </w:r>
      <w:r>
        <w:rPr>
          <w:rStyle w:val="16"/>
        </w:rPr>
        <w:t>通过</w:t>
      </w:r>
      <w:r>
        <w:rPr>
          <w:rStyle w:val="16"/>
          <w:rFonts w:hint="eastAsia"/>
          <w:lang w:val="en-US" w:eastAsia="zh-CN"/>
        </w:rPr>
        <w:t>市场化</w:t>
      </w:r>
      <w:r>
        <w:rPr>
          <w:rFonts w:ascii="Times New Roman" w:hAnsi="Times New Roman" w:cs="Times New Roman"/>
        </w:rPr>
        <w:t>运营医疗项目获取收益，</w:t>
      </w:r>
      <w:r>
        <w:rPr>
          <w:rFonts w:hint="eastAsia" w:ascii="Times New Roman" w:hAnsi="Times New Roman" w:cs="Times New Roman"/>
          <w:lang w:val="en-US" w:eastAsia="zh-CN"/>
        </w:rPr>
        <w:t>逐步</w:t>
      </w:r>
      <w:r>
        <w:rPr>
          <w:rFonts w:ascii="Times New Roman" w:hAnsi="Times New Roman" w:cs="Times New Roman"/>
        </w:rPr>
        <w:t>回收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核心支撑体系建设成本。</w:t>
      </w:r>
    </w:p>
    <w:p>
      <w:pPr>
        <w:pStyle w:val="15"/>
        <w:rPr>
          <w:rFonts w:ascii="Times New Roman" w:hAnsi="Times New Roman" w:cs="Times New Roman"/>
        </w:rPr>
      </w:pPr>
      <w:r>
        <w:rPr>
          <w:rStyle w:val="19"/>
          <w:rFonts w:hint="eastAsia"/>
          <w:lang w:val="en-US" w:eastAsia="zh-CN"/>
        </w:rPr>
        <w:t>（四）实现效益。</w:t>
      </w:r>
      <w:r>
        <w:rPr>
          <w:rFonts w:hint="eastAsia" w:ascii="Times New Roman" w:hAnsi="Times New Roman" w:cs="Times New Roman"/>
          <w:lang w:val="en-US" w:eastAsia="zh-CN"/>
        </w:rPr>
        <w:t>通过搭建公开、透明、廉洁的“智慧医疗”服务平台，实现信息技术赋能精细化管理，能够有效提升政府办医管医监督能力，</w:t>
      </w:r>
      <w:r>
        <w:rPr>
          <w:rFonts w:hint="eastAsia" w:ascii="仿宋_GB2312" w:eastAsia="仿宋_GB2312" w:cs="仿宋_GB2312"/>
          <w:bCs/>
          <w:sz w:val="32"/>
          <w:szCs w:val="32"/>
        </w:rPr>
        <w:t>优化重塑</w:t>
      </w:r>
      <w:r>
        <w:rPr>
          <w:rFonts w:hint="eastAsia" w:cs="仿宋_GB2312"/>
          <w:bCs/>
          <w:sz w:val="32"/>
          <w:szCs w:val="32"/>
          <w:lang w:val="en-US" w:eastAsia="zh-CN"/>
        </w:rPr>
        <w:t>药械供给管理</w:t>
      </w:r>
      <w:r>
        <w:rPr>
          <w:rFonts w:hint="eastAsia" w:ascii="仿宋_GB2312" w:eastAsia="仿宋_GB2312" w:cs="仿宋_GB2312"/>
          <w:bCs/>
          <w:sz w:val="32"/>
          <w:szCs w:val="32"/>
        </w:rPr>
        <w:t>流程，</w:t>
      </w:r>
      <w:r>
        <w:rPr>
          <w:rFonts w:hint="eastAsia" w:ascii="Times New Roman" w:hAnsi="Times New Roman" w:cs="Times New Roman"/>
          <w:lang w:val="en-US" w:eastAsia="zh-CN"/>
        </w:rPr>
        <w:t>降低医院药品器械使用管理成本，节约医保资金，减轻百姓看病负担，增强地方财税活力，</w:t>
      </w:r>
      <w:r>
        <w:rPr>
          <w:rFonts w:hint="eastAsia" w:ascii="仿宋_GB2312" w:eastAsia="仿宋_GB2312" w:cs="仿宋_GB2312"/>
          <w:bCs/>
          <w:sz w:val="32"/>
          <w:szCs w:val="32"/>
        </w:rPr>
        <w:t>助推卫生健康事业高质量发展</w:t>
      </w:r>
      <w:r>
        <w:rPr>
          <w:rFonts w:hint="eastAsia" w:cs="仿宋_GB2312"/>
          <w:bCs/>
          <w:sz w:val="32"/>
          <w:szCs w:val="32"/>
          <w:lang w:eastAsia="zh-CN"/>
        </w:rPr>
        <w:t>。</w:t>
      </w:r>
    </w:p>
    <w:p>
      <w:pPr>
        <w:pStyle w:val="21"/>
        <w:bidi w:val="0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ascii="Times New Roman" w:hAnsi="Times New Roman" w:cs="Times New Roman"/>
          <w:lang w:val="en-US" w:eastAsia="zh-CN"/>
        </w:rPr>
        <w:t>、建设任务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9"/>
          <w:rFonts w:hint="eastAsia"/>
          <w:lang w:val="en-US" w:eastAsia="zh-CN"/>
        </w:rPr>
        <w:t>（一）</w:t>
      </w:r>
      <w:r>
        <w:rPr>
          <w:rStyle w:val="19"/>
          <w:lang w:val="en-US" w:eastAsia="zh-CN"/>
        </w:rPr>
        <w:t>持续补短夯基、建设一体化的数字支撑底座。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夯实物联感知终端、视频感知源、一朵云、一张网、IPv6等数字基础设施建设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，加快发展数据存算等产业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；建设人口、法人、经济、自然资源、空间地理等五大基础数据库及宏观经济、政务服务、社会治理、生态环境、民生保障等主题库，构建汇聚、治理、共享、开放一体的数据资源管理体系；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打造“巴事办”“巴政通”两侧总入口，融合推动在线服务和在线协同；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建设事件中枢、AI中枢、视觉中枢、物联中枢四大能力组件；实现统一实名制身份认证、市民码、区块链、低代码开发平台等业务应用模块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一次建设、多处复用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9"/>
          <w:rFonts w:hint="eastAsia"/>
          <w:lang w:val="en-US" w:eastAsia="zh-CN"/>
        </w:rPr>
        <w:t>（二）坚持利旧建新</w:t>
      </w:r>
      <w:r>
        <w:rPr>
          <w:rStyle w:val="19"/>
          <w:lang w:val="en-US" w:eastAsia="zh-CN"/>
        </w:rPr>
        <w:t>、打造</w:t>
      </w:r>
      <w:r>
        <w:rPr>
          <w:rStyle w:val="19"/>
          <w:rFonts w:hint="eastAsia"/>
          <w:lang w:val="en-US" w:eastAsia="zh-CN"/>
        </w:rPr>
        <w:t>科学决策</w:t>
      </w:r>
      <w:r>
        <w:rPr>
          <w:rStyle w:val="19"/>
          <w:lang w:val="en-US" w:eastAsia="zh-CN"/>
        </w:rPr>
        <w:t>的城市运行管理体系。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整合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市级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各部门已建和待建的指挥中心，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大屏、中屏、小屏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分布格局，建设市级总平台、县（区）二级平台和乡镇（街道）三级节点，统筹村（社区）、网格业务需求，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构建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三级平台五级应用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城市运行管理体系，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打造场景配置中心、事件调度中心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指标配置中心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和城市体征模型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构建态势实时感知、风险监测预警、资源统筹调度、线上线下协同的城市智慧治理新格局。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9"/>
          <w:rFonts w:hint="eastAsia"/>
          <w:lang w:val="en-US" w:eastAsia="zh-CN"/>
        </w:rPr>
        <w:t>（三）强化数智</w:t>
      </w:r>
      <w:r>
        <w:rPr>
          <w:rStyle w:val="19"/>
          <w:lang w:val="en-US" w:eastAsia="zh-CN"/>
        </w:rPr>
        <w:t>赋能</w:t>
      </w:r>
      <w:r>
        <w:rPr>
          <w:rStyle w:val="19"/>
          <w:rFonts w:hint="eastAsia"/>
          <w:lang w:val="en-US" w:eastAsia="zh-CN"/>
        </w:rPr>
        <w:t>、构建四类</w:t>
      </w:r>
      <w:r>
        <w:rPr>
          <w:rStyle w:val="19"/>
          <w:lang w:val="en-US" w:eastAsia="zh-CN"/>
        </w:rPr>
        <w:t>智慧应用框架。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围</w:t>
      </w:r>
      <w:r>
        <w:rPr>
          <w:rStyle w:val="16"/>
          <w:rFonts w:ascii="Times New Roman" w:hAnsi="Times New Roman" w:cs="Times New Roman"/>
          <w:sz w:val="32"/>
          <w:szCs w:val="32"/>
          <w:lang w:val="en-US" w:eastAsia="zh-CN"/>
        </w:rPr>
        <w:t>绕数字经济创新活跃、数字治理高效精细、数字服务畅享便捷、数字安全韧性可靠四大</w:t>
      </w:r>
      <w:r>
        <w:rPr>
          <w:rStyle w:val="16"/>
          <w:rFonts w:hint="eastAsia" w:ascii="Times New Roman" w:hAnsi="Times New Roman" w:cs="Times New Roman"/>
          <w:sz w:val="32"/>
          <w:szCs w:val="32"/>
          <w:lang w:val="en-US" w:eastAsia="zh-CN"/>
        </w:rPr>
        <w:t>体系，在智慧医疗、政务服务、经济运行、营商环境、市场监管、生态保护、智慧文旅、应急管理等领域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打造多个应用场景</w:t>
      </w:r>
      <w:r>
        <w:rPr>
          <w:rStyle w:val="16"/>
          <w:sz w:val="32"/>
          <w:szCs w:val="32"/>
          <w:lang w:val="en-US" w:eastAsia="zh-CN"/>
        </w:rPr>
        <w:t>，</w:t>
      </w:r>
      <w:r>
        <w:rPr>
          <w:rStyle w:val="16"/>
          <w:rFonts w:hint="eastAsia"/>
          <w:sz w:val="32"/>
          <w:szCs w:val="32"/>
          <w:lang w:val="en-US" w:eastAsia="zh-CN"/>
        </w:rPr>
        <w:t>迭代升级社会信用信息平台、综治信息系统、</w:t>
      </w:r>
      <w:r>
        <w:rPr>
          <w:rStyle w:val="16"/>
          <w:sz w:val="32"/>
          <w:szCs w:val="32"/>
          <w:lang w:val="en-US" w:eastAsia="zh-CN"/>
        </w:rPr>
        <w:t>国土空间基础信息平台</w:t>
      </w:r>
      <w:r>
        <w:rPr>
          <w:rStyle w:val="16"/>
          <w:rFonts w:hint="eastAsia"/>
          <w:sz w:val="32"/>
          <w:szCs w:val="32"/>
          <w:lang w:val="en-US" w:eastAsia="zh-CN"/>
        </w:rPr>
        <w:t>、12345市民热线等系统，启动实施</w:t>
      </w:r>
      <w:r>
        <w:rPr>
          <w:rFonts w:ascii="Times New Roman" w:hAnsi="Times New Roman" w:cs="Times New Roman"/>
        </w:rPr>
        <w:t>医疗物资供应链服务</w:t>
      </w:r>
      <w:r>
        <w:rPr>
          <w:rFonts w:hint="eastAsia" w:ascii="Times New Roman" w:hAnsi="Times New Roman" w:cs="Times New Roman"/>
          <w:lang w:val="en-US" w:eastAsia="zh-CN"/>
        </w:rPr>
        <w:t>平台</w:t>
      </w:r>
      <w:r>
        <w:rPr>
          <w:rStyle w:val="16"/>
          <w:rFonts w:hint="eastAsia"/>
          <w:sz w:val="32"/>
          <w:szCs w:val="32"/>
          <w:lang w:val="en-US" w:eastAsia="zh-CN"/>
        </w:rPr>
        <w:t>、工业互联网平台、智慧招商平台、智慧项目管理平台、营商通等系统，规划建设智慧社区、灾害预警平台、产业大脑等系统，</w:t>
      </w:r>
      <w:r>
        <w:rPr>
          <w:rStyle w:val="16"/>
          <w:sz w:val="32"/>
          <w:szCs w:val="32"/>
          <w:lang w:val="en-US" w:eastAsia="zh-CN"/>
        </w:rPr>
        <w:t>全面赋能我市数字政府、数字社会、数字经济建设和发展。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9"/>
          <w:rFonts w:hint="eastAsia"/>
          <w:lang w:val="en-US" w:eastAsia="zh-CN"/>
        </w:rPr>
        <w:t>（四）推进协同治理、创新基层智治模式</w:t>
      </w:r>
      <w:r>
        <w:rPr>
          <w:rStyle w:val="19"/>
          <w:lang w:val="en-US" w:eastAsia="zh-CN"/>
        </w:rPr>
        <w:t>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打造全市统一的乡镇（街道）一体化治理智治平台，以微网实格为引领建立健全基层智治体系，推动报表通、川善治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、基层党建</w:t>
      </w:r>
      <w:r>
        <w:rPr>
          <w:rStyle w:val="16"/>
          <w:rFonts w:hint="eastAsia"/>
          <w:sz w:val="32"/>
          <w:szCs w:val="32"/>
          <w:lang w:val="en-US" w:eastAsia="zh-CN"/>
        </w:rPr>
        <w:t>、平安法治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等应用场景在基层落地，全方位系统性重塑基层治理体制机制、组织架构、方式流程、手段工具，构建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扁平一体、条抓块统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的基层智治模式。</w:t>
      </w:r>
    </w:p>
    <w:p>
      <w:pPr>
        <w:pStyle w:val="21"/>
        <w:bidi w:val="0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五</w:t>
      </w:r>
      <w:r>
        <w:rPr>
          <w:rFonts w:ascii="Times New Roman" w:hAnsi="Times New Roman" w:cs="Times New Roman"/>
          <w:lang w:val="en-US" w:eastAsia="zh-CN"/>
        </w:rPr>
        <w:t>、保障措施</w:t>
      </w:r>
    </w:p>
    <w:p>
      <w:pPr>
        <w:pStyle w:val="15"/>
        <w:bidi w:val="0"/>
        <w:rPr>
          <w:rFonts w:ascii="Times New Roman" w:hAnsi="Times New Roman" w:cs="Times New Roman"/>
        </w:rPr>
      </w:pPr>
      <w:r>
        <w:rPr>
          <w:rStyle w:val="19"/>
          <w:rFonts w:hint="eastAsia" w:ascii="CESI楷体-GB2312" w:eastAsia="CESI楷体-GB2312" w:cs="Times New Roman"/>
        </w:rPr>
        <w:t>（一）强化组织领导。</w:t>
      </w:r>
      <w:r>
        <w:rPr>
          <w:rFonts w:ascii="Times New Roman" w:hAnsi="Times New Roman" w:cs="Times New Roman"/>
        </w:rPr>
        <w:t>发挥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智慧巴中”</w:t>
      </w:r>
      <w:r>
        <w:rPr>
          <w:rFonts w:ascii="Times New Roman" w:hAnsi="Times New Roman" w:cs="Times New Roman"/>
          <w:lang w:val="en-US" w:eastAsia="zh-CN"/>
        </w:rPr>
        <w:t>建设</w:t>
      </w:r>
      <w:r>
        <w:rPr>
          <w:rFonts w:hint="eastAsia" w:ascii="Times New Roman" w:hAnsi="Times New Roman" w:cs="Times New Roman"/>
          <w:lang w:val="en-US" w:eastAsia="zh-CN"/>
        </w:rPr>
        <w:t>议事协调机构</w:t>
      </w:r>
      <w:r>
        <w:rPr>
          <w:rFonts w:ascii="Times New Roman" w:hAnsi="Times New Roman" w:cs="Times New Roman"/>
        </w:rPr>
        <w:t>作用，统筹推进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</w:t>
      </w:r>
      <w:r>
        <w:rPr>
          <w:rFonts w:ascii="Times New Roman" w:hAnsi="Times New Roman" w:cs="Times New Roman"/>
          <w:lang w:val="en-US" w:eastAsia="zh-CN"/>
        </w:rPr>
        <w:t>巴中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核心支撑平台及</w:t>
      </w:r>
      <w:r>
        <w:rPr>
          <w:rFonts w:ascii="Times New Roman" w:hAnsi="Times New Roman" w:cs="Times New Roman"/>
        </w:rPr>
        <w:t>智慧应用场景建设，强化工作调度，定期研究、协调解决工作中的重大事项。根据建设任务，建立市领导</w:t>
      </w:r>
      <w:r>
        <w:rPr>
          <w:rFonts w:hint="eastAsia" w:ascii="Times New Roman" w:hAnsi="Times New Roman" w:cs="Times New Roman"/>
          <w:lang w:val="en-US" w:eastAsia="zh-CN"/>
        </w:rPr>
        <w:t>统筹</w:t>
      </w:r>
      <w:r>
        <w:rPr>
          <w:rFonts w:ascii="Times New Roman" w:hAnsi="Times New Roman" w:cs="Times New Roman"/>
        </w:rPr>
        <w:t>、牵头部门负责、相关部门参与的工作专班，挂图作战、集中攻关、分类推进，确保按期完成工作任务。</w:t>
      </w:r>
    </w:p>
    <w:p>
      <w:pPr>
        <w:pStyle w:val="15"/>
        <w:rPr>
          <w:rFonts w:ascii="Times New Roman" w:hAnsi="Times New Roman" w:cs="Times New Roman"/>
        </w:rPr>
      </w:pPr>
      <w:r>
        <w:rPr>
          <w:rStyle w:val="19"/>
          <w:rFonts w:hint="eastAsia" w:ascii="CESI楷体-GB2312" w:eastAsia="CESI楷体-GB2312" w:cs="Times New Roman"/>
        </w:rPr>
        <w:t>（二）强化协同联动。</w:t>
      </w:r>
      <w:r>
        <w:rPr>
          <w:rFonts w:ascii="Times New Roman" w:hAnsi="Times New Roman" w:cs="Times New Roman"/>
        </w:rPr>
        <w:t>市</w:t>
      </w:r>
      <w:r>
        <w:rPr>
          <w:rFonts w:ascii="Times New Roman" w:hAnsi="Times New Roman" w:cs="Times New Roman"/>
          <w:lang w:val="en-US" w:eastAsia="zh-CN"/>
        </w:rPr>
        <w:t>营商环境和数据局</w:t>
      </w:r>
      <w:r>
        <w:rPr>
          <w:rStyle w:val="16"/>
        </w:rPr>
        <w:t>牵头</w:t>
      </w:r>
      <w:r>
        <w:rPr>
          <w:rStyle w:val="16"/>
          <w:rFonts w:hint="eastAsia"/>
          <w:lang w:eastAsia="zh-CN"/>
        </w:rPr>
        <w:t>编制《“智慧巴中”建设三年行动方案》和“智慧巴中”核心支撑体系项目实施方案，</w:t>
      </w:r>
      <w:r>
        <w:rPr>
          <w:rStyle w:val="16"/>
        </w:rPr>
        <w:t>统筹市级</w:t>
      </w:r>
      <w:r>
        <w:rPr>
          <w:rStyle w:val="16"/>
          <w:rFonts w:hint="eastAsia"/>
          <w:lang w:val="en-US" w:eastAsia="zh-CN"/>
        </w:rPr>
        <w:t>共用</w:t>
      </w:r>
      <w:r>
        <w:rPr>
          <w:rStyle w:val="16"/>
        </w:rPr>
        <w:t>平台建设、</w:t>
      </w:r>
      <w:r>
        <w:rPr>
          <w:rStyle w:val="16"/>
          <w:rFonts w:hint="eastAsia"/>
          <w:lang w:val="en-US" w:eastAsia="zh-CN"/>
        </w:rPr>
        <w:t>推</w:t>
      </w:r>
      <w:r>
        <w:rPr>
          <w:rFonts w:hint="eastAsia" w:ascii="Times New Roman" w:hAnsi="Times New Roman" w:cs="Times New Roman"/>
          <w:lang w:val="en-US" w:eastAsia="zh-CN"/>
        </w:rPr>
        <w:t>动</w:t>
      </w:r>
      <w:r>
        <w:rPr>
          <w:rFonts w:ascii="Times New Roman" w:hAnsi="Times New Roman" w:cs="Times New Roman"/>
        </w:rPr>
        <w:t>数据汇聚共享、标准规范制定、场景接入集成等工作，促进条块业务融合。</w:t>
      </w:r>
      <w:r>
        <w:rPr>
          <w:rFonts w:hint="eastAsia" w:ascii="Times New Roman" w:hAnsi="Times New Roman" w:cs="Times New Roman"/>
          <w:lang w:val="en-US" w:eastAsia="zh-CN"/>
        </w:rPr>
        <w:t>市卫生健康委</w:t>
      </w:r>
      <w:r>
        <w:rPr>
          <w:rStyle w:val="16"/>
          <w:rFonts w:hint="eastAsia"/>
          <w:lang w:val="en-US" w:eastAsia="zh-CN"/>
        </w:rPr>
        <w:t>负责统筹智慧医疗领域平台建设及相关服务需求、推动公立医疗机构使用平台及相关服务，加强医疗领域建设运营监管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ascii="Times New Roman" w:hAnsi="Times New Roman" w:cs="Times New Roman"/>
        </w:rPr>
        <w:t>市级部门负责推动业务流程再造、系统整合联通和行业数据汇聚，做好场景梳理打造，对接市级平台实现事件联动处置。各县</w:t>
      </w:r>
      <w:r>
        <w:rPr>
          <w:rFonts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val="en-US" w:eastAsia="zh-CN"/>
        </w:rPr>
        <w:t>区）</w:t>
      </w:r>
      <w:r>
        <w:rPr>
          <w:rFonts w:ascii="Times New Roman" w:hAnsi="Times New Roman" w:cs="Times New Roman"/>
        </w:rPr>
        <w:t>参照市级做法形成本级工作方案，</w:t>
      </w:r>
      <w:r>
        <w:rPr>
          <w:rFonts w:ascii="Times New Roman" w:hAnsi="Times New Roman" w:cs="Times New Roman"/>
          <w:lang w:val="en-US" w:eastAsia="zh-CN"/>
        </w:rPr>
        <w:t>按要求做好</w:t>
      </w:r>
      <w:r>
        <w:rPr>
          <w:rFonts w:ascii="Times New Roman" w:hAnsi="Times New Roman" w:cs="Times New Roman"/>
        </w:rPr>
        <w:t>本级平台建设、数据汇聚共享和场景梳理打造等工作，对接市级平台实现跨层级协同联动。</w:t>
      </w:r>
    </w:p>
    <w:p>
      <w:pPr>
        <w:pStyle w:val="15"/>
        <w:bidi w:val="0"/>
        <w:rPr>
          <w:rFonts w:ascii="Times New Roman" w:hAnsi="Times New Roman" w:cs="Times New Roman"/>
        </w:rPr>
      </w:pPr>
      <w:r>
        <w:rPr>
          <w:rStyle w:val="19"/>
          <w:rFonts w:hint="eastAsia" w:ascii="CESI楷体-GB2312" w:eastAsia="CESI楷体-GB2312" w:cs="Times New Roman"/>
        </w:rPr>
        <w:t>（三）强化项目管理。</w:t>
      </w:r>
      <w:r>
        <w:rPr>
          <w:rFonts w:ascii="Times New Roman" w:hAnsi="Times New Roman" w:cs="Times New Roman"/>
        </w:rPr>
        <w:t>市、县</w:t>
      </w:r>
      <w:r>
        <w:rPr>
          <w:rFonts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val="en-US" w:eastAsia="zh-CN"/>
        </w:rPr>
        <w:t>区）</w:t>
      </w:r>
      <w:r>
        <w:rPr>
          <w:rFonts w:ascii="Times New Roman" w:hAnsi="Times New Roman" w:cs="Times New Roman"/>
        </w:rPr>
        <w:t>两级财政加大对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</w:t>
      </w:r>
      <w:r>
        <w:rPr>
          <w:rFonts w:ascii="Times New Roman" w:hAnsi="Times New Roman" w:cs="Times New Roman"/>
          <w:lang w:val="en-US" w:eastAsia="zh-CN"/>
        </w:rPr>
        <w:t>巴中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</w:rPr>
        <w:t>建设的支持力度，科学调度、统筹做好资金保障。市</w:t>
      </w:r>
      <w:r>
        <w:rPr>
          <w:rFonts w:hint="eastAsia" w:ascii="Times New Roman" w:hAnsi="Times New Roman" w:cs="Times New Roman"/>
          <w:lang w:val="en-US" w:eastAsia="zh-CN"/>
        </w:rPr>
        <w:t>发展改革</w:t>
      </w:r>
      <w:r>
        <w:rPr>
          <w:rFonts w:ascii="Times New Roman" w:hAnsi="Times New Roman" w:cs="Times New Roman"/>
        </w:rPr>
        <w:t>委、市财政局、市审计局、市</w:t>
      </w:r>
      <w:r>
        <w:rPr>
          <w:rFonts w:ascii="Times New Roman" w:hAnsi="Times New Roman" w:cs="Times New Roman"/>
          <w:lang w:val="en-US" w:eastAsia="zh-CN"/>
        </w:rPr>
        <w:t>营商环境和数据局</w:t>
      </w:r>
      <w:r>
        <w:rPr>
          <w:rFonts w:ascii="Times New Roman" w:hAnsi="Times New Roman" w:cs="Times New Roman"/>
        </w:rPr>
        <w:t>抽调专人组成项目管理团队，强化项目策划包装，研究</w:t>
      </w:r>
      <w:r>
        <w:rPr>
          <w:rFonts w:ascii="Times New Roman" w:hAnsi="Times New Roman" w:cs="Times New Roman"/>
          <w:lang w:val="en-US" w:eastAsia="zh-CN"/>
        </w:rPr>
        <w:t>优化</w:t>
      </w:r>
      <w:r>
        <w:rPr>
          <w:rFonts w:ascii="Times New Roman" w:hAnsi="Times New Roman" w:cs="Times New Roman"/>
        </w:rPr>
        <w:t>《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智慧</w:t>
      </w:r>
      <w:r>
        <w:rPr>
          <w:rFonts w:ascii="Times New Roman" w:hAnsi="Times New Roman" w:cs="Times New Roman"/>
          <w:lang w:val="en-US" w:eastAsia="zh-CN"/>
        </w:rPr>
        <w:t>巴中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建设</w:t>
      </w:r>
      <w:r>
        <w:rPr>
          <w:rFonts w:ascii="Times New Roman" w:hAnsi="Times New Roman" w:cs="Times New Roman"/>
        </w:rPr>
        <w:t>项目管理办法》，加强项目全生命周期管理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精简整合审批流程，实现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程序不减、时间缩短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5"/>
        <w:bidi w:val="0"/>
        <w:rPr>
          <w:rFonts w:ascii="Times New Roman" w:hAnsi="Times New Roman" w:cs="Times New Roman"/>
        </w:rPr>
      </w:pPr>
      <w:r>
        <w:rPr>
          <w:rStyle w:val="19"/>
          <w:rFonts w:hint="eastAsia" w:ascii="CESI楷体-GB2312" w:eastAsia="CESI楷体-GB2312" w:cs="Times New Roman"/>
        </w:rPr>
        <w:t>（四）强化安全运行。</w:t>
      </w:r>
      <w:r>
        <w:rPr>
          <w:rFonts w:ascii="Times New Roman" w:hAnsi="Times New Roman" w:cs="Times New Roman"/>
        </w:rPr>
        <w:t>完善</w:t>
      </w:r>
      <w:r>
        <w:rPr>
          <w:rFonts w:ascii="Times New Roman" w:hAnsi="Times New Roman" w:cs="Times New Roman"/>
          <w:lang w:val="en-US" w:eastAsia="zh-CN"/>
        </w:rPr>
        <w:t>各级城市</w:t>
      </w:r>
      <w:r>
        <w:rPr>
          <w:rFonts w:ascii="Times New Roman" w:hAnsi="Times New Roman" w:cs="Times New Roman"/>
        </w:rPr>
        <w:t>运行</w:t>
      </w:r>
      <w:r>
        <w:rPr>
          <w:rFonts w:ascii="Times New Roman" w:hAnsi="Times New Roman" w:cs="Times New Roman"/>
          <w:lang w:val="en-US" w:eastAsia="zh-CN"/>
        </w:rPr>
        <w:t>管理</w:t>
      </w:r>
      <w:r>
        <w:rPr>
          <w:rFonts w:ascii="Times New Roman" w:hAnsi="Times New Roman" w:cs="Times New Roman"/>
        </w:rPr>
        <w:t>中心安全管理体系，加强风险监测预警，确保整体安全管控。加强网络和信息安全保障，强化个人信息保护，确保关键基础设施、重要数据资源安全可控。加强运行安全保障，做好极端情况下的数据安全管理和断网断电情况下的应急保障。</w:t>
      </w:r>
    </w:p>
    <w:p>
      <w:pPr>
        <w:pStyle w:val="15"/>
        <w:bidi w:val="0"/>
        <w:rPr>
          <w:rFonts w:ascii="Times New Roman" w:hAnsi="Times New Roman" w:cs="Times New Roman"/>
        </w:rPr>
      </w:pPr>
      <w:r>
        <w:rPr>
          <w:rStyle w:val="19"/>
          <w:rFonts w:hint="eastAsia" w:ascii="CESI楷体-GB2312" w:eastAsia="CESI楷体-GB2312" w:cs="Times New Roman"/>
        </w:rPr>
        <w:t>（五）强化考核评价。</w:t>
      </w:r>
      <w:r>
        <w:rPr>
          <w:rFonts w:ascii="Times New Roman" w:hAnsi="Times New Roman" w:cs="Times New Roman"/>
        </w:rPr>
        <w:t>市</w:t>
      </w:r>
      <w:r>
        <w:rPr>
          <w:rFonts w:ascii="Times New Roman" w:hAnsi="Times New Roman" w:cs="Times New Roman"/>
          <w:lang w:val="en-US" w:eastAsia="zh-CN"/>
        </w:rPr>
        <w:t>营商环境和数据局会同市目标绩效办</w:t>
      </w:r>
      <w:r>
        <w:rPr>
          <w:rFonts w:ascii="Times New Roman" w:hAnsi="Times New Roman" w:cs="Times New Roman"/>
        </w:rPr>
        <w:t>定期组织开展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val="en-US" w:eastAsia="zh-CN"/>
        </w:rPr>
        <w:t>智慧巴中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阶段性任务</w:t>
      </w:r>
      <w:r>
        <w:rPr>
          <w:rFonts w:ascii="Times New Roman" w:hAnsi="Times New Roman" w:cs="Times New Roman"/>
        </w:rPr>
        <w:t>建设</w:t>
      </w:r>
      <w:r>
        <w:rPr>
          <w:rFonts w:ascii="Times New Roman" w:hAnsi="Times New Roman" w:cs="Times New Roman"/>
          <w:lang w:val="en-US" w:eastAsia="zh-CN"/>
        </w:rPr>
        <w:t>实施</w:t>
      </w:r>
      <w:r>
        <w:rPr>
          <w:rFonts w:ascii="Times New Roman" w:hAnsi="Times New Roman" w:cs="Times New Roman"/>
        </w:rPr>
        <w:t>情况评估，及时分析推进过程中的问题，提出工作建议，督促整改提升，建立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val="en-US" w:eastAsia="zh-C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val="en-US" w:eastAsia="zh-CN"/>
        </w:rPr>
        <w:t>评估</w:t>
      </w:r>
      <w:r>
        <w:rPr>
          <w:rFonts w:ascii="Times New Roman" w:hAnsi="Times New Roman" w:cs="Times New Roman"/>
        </w:rPr>
        <w:t>评价机制，确保各项工作落地落实。</w:t>
      </w:r>
    </w:p>
    <w:p>
      <w:pPr>
        <w:pStyle w:val="15"/>
        <w:bidi w:val="0"/>
        <w:rPr>
          <w:lang w:val="en-US" w:eastAsia="zh-CN"/>
        </w:rPr>
      </w:pPr>
    </w:p>
    <w:p>
      <w:pPr>
        <w:pStyle w:val="15"/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87" w:charSpace="0"/>
        </w:sectPr>
      </w:pPr>
      <w:r>
        <w:rPr>
          <w:rFonts w:hint="eastAsia"/>
          <w:lang w:val="en-US" w:eastAsia="zh-CN"/>
        </w:rPr>
        <w:t>附件：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智慧巴中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建设项目清单</w:t>
      </w:r>
    </w:p>
    <w:p>
      <w:pPr>
        <w:pStyle w:val="17"/>
        <w:bidi w:val="0"/>
        <w:ind w:left="0" w:firstLine="0" w:firstLineChars="0"/>
        <w:rPr>
          <w:rFonts w:ascii="仿宋_GB2312" w:hAnsi="仿宋_GB2312" w:eastAsia="方正小标宋简体" w:cs="仿宋_GB2312"/>
          <w:snapToGrid w:val="0"/>
          <w:color w:val="000000"/>
          <w:kern w:val="0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附件</w:t>
      </w:r>
    </w:p>
    <w:p>
      <w:pPr>
        <w:keepNext/>
        <w:keepLines/>
        <w:widowControl w:val="0"/>
        <w:bidi w:val="0"/>
        <w:spacing w:line="560" w:lineRule="exact"/>
        <w:ind w:firstLine="0"/>
        <w:jc w:val="center"/>
        <w:outlineLvl w:val="2"/>
        <w:rPr>
          <w:rFonts w:hint="eastAsia" w:ascii="仿宋_GB2312" w:hAnsi="仿宋_GB2312" w:eastAsia="方正小标宋简体" w:cs="仿宋_GB2312"/>
          <w:snapToGrid w:val="0"/>
          <w:color w:val="000000"/>
          <w:kern w:val="0"/>
          <w:sz w:val="44"/>
          <w:szCs w:val="32"/>
          <w:lang w:val="en-US" w:eastAsia="zh-CN" w:bidi="ar-SA"/>
        </w:rPr>
      </w:pPr>
      <w:r>
        <w:rPr>
          <w:rFonts w:hint="eastAsia" w:ascii="仿宋_GB2312" w:hAnsi="仿宋_GB2312" w:eastAsia="方正小标宋简体" w:cs="仿宋_GB2312"/>
          <w:snapToGrid w:val="0"/>
          <w:color w:val="000000"/>
          <w:kern w:val="0"/>
          <w:sz w:val="44"/>
          <w:szCs w:val="32"/>
          <w:lang w:val="en-US" w:eastAsia="zh-CN" w:bidi="ar-SA"/>
        </w:rPr>
        <w:t>“智慧巴中”建设项目清单</w:t>
      </w:r>
    </w:p>
    <w:p>
      <w:pPr>
        <w:rPr>
          <w:rFonts w:hint="eastAsia" w:ascii="Arial" w:hAnsi="Arial" w:eastAsia="微软雅黑" w:cs="Times New Roman"/>
          <w:lang w:val="en-US" w:eastAsia="zh-CN"/>
        </w:rPr>
      </w:pPr>
    </w:p>
    <w:tbl>
      <w:tblPr>
        <w:tblStyle w:val="13"/>
        <w:tblW w:w="1423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26"/>
        <w:gridCol w:w="766"/>
        <w:gridCol w:w="6180"/>
        <w:gridCol w:w="2108"/>
        <w:gridCol w:w="3602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项目类别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主要建设内容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属性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责任单位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核心支撑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体系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软件类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一体化智能平台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数据中枢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全市人口、法人、经济、自然资源、空间地理等五大基础数据库，以及宏观经济、政务服务、社会治理、生态环境、民生保障等主题数据库。按需提供数据治理服务，满足共享效率和面向应用场景的数据支撑能力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市营商环境和数据局，市公安局、市市场监管局、市发展改革委、市自然资源和规划局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；以下任务均需各县（区）政府，巴中经开区、文旅新区管委会落实，不再单列。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视频物联中枢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升级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物联感知管理平台，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视频中枢平台，实现视频、物联感知数据统一规范采集、实时共享应用。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市委政法委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城市信息模型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升级CIM平台，构建决策支持、模拟仿真、态势推演等二三维可视化模型，支撑城市最小空间单元运行情况的精准研判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、市综合行政执法局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共性应用支撑平台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建设事件中枢、人工智能、视觉中枢、区块链、统一身份认证等共性赋能平台。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数据安全中心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运用区块链、隐私计算等数据安全技术及日志审计、堡垒机等必要安全措施，构筑网络数据安全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防火墙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，建设用密码服务基础设施，主要建设内容:建设</w:t>
            </w: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“智慧巴中”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商用密码保障系统，为各类应用场景、服务场景提供统一的密码服务，有效保护核心数据安全。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市营商环境和数据局、云服务商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三级城市运行管理平台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市级城运平台基础能力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利旧巴中市政府视频会议系统、全省应急视频会议系统巴中市中心端，建设覆盖全市的监测预警、指挥调度、决策支持、事件流转、监督评价等核心信息系统，打造融合指挥能力。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数字体征平台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围绕数字经济、数字治理、数字服务、数字安全构建适用于巴中的数字体征，接入各类应用系统数据资源进行可视化展示和分析，形成决策参考依据。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县级城运平台基础能力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建设支撑各县（区）城运中心运行的基础平台，延申市级平台相共性能力，配置县级、镇（街）层面个性化应用需求。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县级城运平台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建设县级城市运行管理中心和乡镇节点，承接市级城运中心能力，构建县级融合指挥能力，基于辖区内需求配置应用场景。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各县（区）人民政府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基层智治体系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慧勤务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各级城市运行事件流转的载体和终端，具备各级事件管理及网格人员备勤值勤、事件联动、网格应用、人员分布等功能。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市委政法委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报表通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基层减负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需求，实现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一次填报、多处复用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，解决基层一线报表繁多、重复报送、多头报送等问题。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市委社工部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两大服务端口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巴事办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为市民、企业提供政务服务、生活服务、社区服务，加载交通出行、生活缴费等便民服务功能；改造升级市融媒体中心技术平台，建设</w:t>
            </w: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“巴山红”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移动客户端。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市营商环境和数据局、四川国创数字产业发展有限公司、市委宣传部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巴政通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利旧巴中市公文交换系统、巴中市一网协同</w:t>
            </w:r>
            <w:r>
              <w:rPr>
                <w:rStyle w:val="24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OA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办公平台、巴中市政府网站集约化平台、人事工资信息管理平台，打造协同办公应用场景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市政府办公室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运维服务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云资源服务、新增业务需求、数据治理需求，核心支撑平台系统运行维护、故障处理等服务。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每三年采购一次。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硬件基础设施及场地类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新型基础设施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数字基础设施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整合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智慧巴中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云、网、数等资源，基于国产化技术路线，依托安全可靠的软硬件设备，建设自主可控的数字基础设施（含政务云机房建设、电子政务网改造等）。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，云服务商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视频物联基础设施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统筹交通、应急、公安、环保、水利等领域物联感知和雪亮工程、天眼工程、通讯运营商视频终端底数，统筹建设物联感知终端和视频感知资源。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各行业主管部门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指挥大厅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市级城运中心指挥大厅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top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建设市级城市运行管理中心物理场所，对现有会议室进行软硬件升级改造，设置员工坐席、电子沙盘、音视频设备更新及值班室改造。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县级城运中心指挥大厅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建设县级城市运行管理中心物理场所。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各县（区）人民政府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应用场景类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智慧城市首批应用场景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医疗服务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利旧巴中市全民健康信息平台、巴中市精神康复医院智慧医院信息化系统、巴中市医疗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三监管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平台、医保信息数据资源中心，新建巴医通平台</w:t>
            </w:r>
            <w:r>
              <w:rPr>
                <w:rStyle w:val="23"/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、区域医疗物资供应链管理平台、影像云</w:t>
            </w:r>
            <w:r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市卫生健康委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运行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在城市运行管理服务平台基础上，建设城市环境整治、沿街摊贩管理、市政公用、市容环卫、园林绿化、城市生命线安全工程监测等功能。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市综合行政执法局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经济运行预警智控系统（经济通）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建设全市经济运行预警智控系统，整合共享有关行业有关领域经济运行数据资源，全力做好全市经济运行监测、分析、预警、防控，有效服务市委市政府科学决策。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市发展改革委员会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消防分析管理组件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在巴中市消防救援支队指挥信息系统基础上，实现119接处警统计、119趋势统计、地图警情、效能分析、消防数据统计加快等功能。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市消防救援支队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供电保障管理平台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展示业务办理指南、电价标准、收费项目及标准、政策法规、服务规范等功能。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国家电网巴中公司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供水供气综合保障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整合全市主要供水、供气业务系统，实现全市水气供给使用情况概览、市民诉求响应、水气联网报装等功能。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市住房和城乡建设局、市国资委、市营商环境和数据局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公共交通管理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基于交通运输应急保障指挥中心，建设公交车、出租车、共享单车运行管理服务平台。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利旧+新建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市交通运输局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数字经济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宏观经济调控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大数据审计平台、国资在线监管平台，新建经济数据信息共享平台。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市发展改革委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项目建设管理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打造全生命周期智慧项目管理平台。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市发展改革委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产业数字化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利旧景区智慧系统、数字化人力资源市场、巴中市智慧招商平台，建设文化大数据中心，主要建设内容为：实现文化大数据体系省、市、县三级贯通，实现文化数据汇聚、治理及应用，打造产业数字化场景。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市经济和信息化局、市委宣传部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科技服务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利旧巴中市科技基础信息共享服务平台，建设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科创通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利旧企业档案查询系统，打造企业服务智慧场景。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数字服务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政务服务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利旧巴中市政府采购工程项目全流程电子化系统、巴中生态环境电子政务综合管理平台、天府通办巴中分站点、住房公积金业务信息系统、不动产登记营商环境服务系统，新建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智惠综窗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协同服务平台</w:t>
            </w:r>
            <w:r>
              <w:rPr>
                <w:rStyle w:val="23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、数字营商平台、公共资源交易监管平台。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协同办公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利旧巴中市公文交换系统、巴中市一网协同</w:t>
            </w:r>
            <w:r>
              <w:rPr>
                <w:rStyle w:val="24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OA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办公平台、巴中市政府网站集约化平台、人事工资信息管理平台，打造协同办公应用场景</w:t>
            </w:r>
            <w:r>
              <w:rPr>
                <w:rStyle w:val="23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（巴政通）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市政府办公室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交通服务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4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12328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用系统、四川省交通运行监测与应急指挥工程应用系统、巴中市交通运输非法营运精准识别系统、公安交通管理信息安全监管系统、公安交通集成智慧平台、机动车驾驶人考试监管系统、驾驶理论考试系统、酒驾执法管理系统，打造智慧交通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市交通局、市公安局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社保服务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利旧巴中市惠民惠农财政补贴社会保障卡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一卡通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发放监管系统、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一卡通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阳光审批平台，打造智慧社保应用场景。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市人力资源和社会保障局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教育服务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利旧巴中市智慧教育平台、</w:t>
            </w:r>
            <w:r>
              <w:rPr>
                <w:rStyle w:val="25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智慧校园</w:t>
            </w:r>
            <w:r>
              <w:rPr>
                <w:rStyle w:val="25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综合管理平台，打造智慧教育应用场景。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市教育局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就业服务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利旧数字化人力资源市场，新建巴中市人力资源服务数智化平台。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市人力资源和社会保障局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城市服务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利旧巴中市广播电视和网络视听监测平台、</w:t>
            </w:r>
            <w:r>
              <w:rPr>
                <w:rStyle w:val="24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12345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政务服务便民热线、巴中市民之家大厅评价综合管理系统，建设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巴事办</w:t>
            </w:r>
            <w:r>
              <w:rPr>
                <w:rStyle w:val="24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便民服务平台。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市营商环境和数据局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文旅服务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巴中市融媒体中心、巴中文化旅游智慧服务管理平台</w:t>
            </w:r>
            <w:r>
              <w:rPr>
                <w:rStyle w:val="23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、智慧光雾山平台，建设红色文旅资源数字化平台、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体育场馆智慧服务平台、全民健身智慧服务平台</w:t>
            </w:r>
            <w:r>
              <w:rPr>
                <w:rStyle w:val="23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，打造智慧文旅应用场景。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市文化广电体育和旅游局、市委宣传部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养老服务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利旧四川省居民家庭经济状况核对平台、巴中市居家养老服务信息系统，打造智慧养老应用场景。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市民政局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社区服务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利旧市民诉求大起底、随手拍等应用，建设智慧社区应用场景。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市委社会工作部、市营商环境和数据局、市信访局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数字治理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城市管理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利旧巴中市城市运行管理服务平台、公共视频联网平台、扁平化智慧通信系统，打造城市管理应用场景。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市综合行政执法局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生态环保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巴中市环境保护局机动车排气检测监管系统、巴中市生态环境智慧执法监管与服务系统、固定污染源视频监控系统、环境信息化省市县三级统筹平台（环保一张图、环保专题分析、环境资源数字中心、目标管理系统）、重点排污单位自动监控与基础数据库系统、重污染天气预警平台、巴中市国家水资源监控能力平台、巴中市河长制管理信息系统，打造生态环境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市水利局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绿色低碳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SECP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能耗综合业务平台、集中办公区智慧管理平台，新建巴中市生态产品价值实现与智慧林业信息管理平台（包括基础设施建设）。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市发展改革委员会、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市林业局、市机关事务服务中心、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市两山生态资源资产经营有限公司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社会信用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利旧巴中市社会信用信息平台，打造社会信用应用场景。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市发展改革委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基层治理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打造基层治理应用场景。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市委政法委，市委社工部、市委组织部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数字安全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公共安全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利旧雪亮工程、巴中市</w:t>
            </w:r>
            <w:r>
              <w:rPr>
                <w:rStyle w:val="25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智慧食安</w:t>
            </w:r>
            <w:r>
              <w:rPr>
                <w:rStyle w:val="25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服务平台、巴中公安智慧接处警系统、巴州城区天网系统、巴中市电梯应急处置服务平台、巴中市特种设备综合管理平台、巴中市城市安全管理信息平台，打造公共安全应用场景。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市委政法委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应急管理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利旧山洪灾害防御调度会商系统、市防汛指挥中心，新建巴中市应急管理数字化监管平台(巴中e应急)。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利旧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+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新建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TimesNew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 w:eastAsia="zh-CN"/>
              </w:rPr>
              <w:t>市应急管理局</w:t>
            </w:r>
            <w:r>
              <w:rPr>
                <w:rStyle w:val="22"/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、市水利局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适时推进</w:t>
            </w:r>
          </w:p>
        </w:tc>
      </w:tr>
    </w:tbl>
    <w:p>
      <w:pPr>
        <w:pStyle w:val="12"/>
        <w:rPr>
          <w:rFonts w:hint="eastAsia"/>
          <w:lang w:val="en-US" w:eastAsia="zh-CN"/>
        </w:rPr>
      </w:pPr>
    </w:p>
    <w:p>
      <w:pPr>
        <w:pStyle w:val="15"/>
        <w:bidi w:val="0"/>
        <w:ind w:left="0" w:firstLine="0" w:firstLineChars="0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rtlGutter w:val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script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2959735</wp:posOffset>
              </wp:positionV>
              <wp:extent cx="711200" cy="3556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35559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bidi w:val="0"/>
                            <w:ind w:left="0" w:firstLine="0" w:firstLineChars="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233.05pt;height:28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ujbbbaAAAACAEAAA8AAABkcnMvZG93bnJldi54bWxNj8FOwzAQRO9I/IO1&#10;SFwqajuCCIVsegABEoJDQ4XEzY3dOGq8DrGbFL4e9wTH2VnNvClXR9ezyYyh84QglwKYocbrjlqE&#10;zfvj1S2wEBVp1XsyCN8mwKo6PytVof1MazPVsWUphEKhEGyMQ8F5aKxxKiz9YCh5Oz86FZMcW65H&#10;Nadw1/NMiJw71VFqsGow99Y0+/rgEF4fnj4/FvZFZG8/i52f68309bxHvLyQ4g5YNMf49wwn/IQO&#10;VWLa+gPpwHqENCQiXOe5BHayZZYuW4SbLJPAq5L/H1D9AlBLAwQUAAAACACHTuJA4Ag20QMCAAD0&#10;AwAADgAAAGRycy9lMm9Eb2MueG1srVNLjhMxEN0jcQfLe9KdjDIwrXRGiGgQEoKRBg7guN1pS/6p&#10;ykl3OADcgBUb9pwr56Dszmc0bGbBpvvZLr+q96q8uB2sYTsFqL2r+XRScqac9I12m5p//XL36g1n&#10;GIVrhPFO1XyvkN8uX75Y9KFSM9950yhgROKw6kPNuxhDVRQoO2UFTnxQjg5bD1ZEWsKmaED0xG5N&#10;MSvL66L30ATwUiHS7mo85EdGeA6hb1st1crLrVUujqygjIgkCTsdkC9ztW2rZPzctqgiMzUnpTF/&#10;KQnhdfoWy4WoNiBCp+WxBPGcEp5oskI7SnqmWoko2Bb0P1RWS/Do2ziR3hajkOwIqZiWT7x56ERQ&#10;WQtZjeFsOv4/Wvlpdw9MNzQJnDlhqeGHnz8Ov/4cfn9ns2RPH7CiqIdwD8cVEkxahxZs+pMKNmRL&#10;92dL1RCZpM3X0+n05oYzSUdX8/mcMLEUl8sBML5X3rIEag7UsWyk2H3EOIaeQlIu5++0MbQvKuNY&#10;X/Prqzn1UgqaxJYmgKANpAbdJtM8ik80K4Ed2wkaBvRGN2P7wW9dM6YyjopLikeNCcVhPdBhgmvf&#10;7MktejxUaefhG2c9jU7NHb0UzswHR51JU3YCcALrExBO0sWaU6EjfBfHadwG0JuOeMtcN4a320ha&#10;swWX3MfqaBiyicfBTdP2eJ2jLo91+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DgCDbRAwIAAPQD&#10;AAAOAAAAAAAAAAEAIAAAAD8BAABkcnMvZTJvRG9jLnhtbFBLAQIUABQAAAAIAIdO4kA7o2222gAA&#10;AAgBAAAPAAAAAAAAAAEAIAAAADgAAABkcnMvZG93bnJldi54bWxQSwUGAAAAAAYABgBZAQAAtAUA&#10;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bidi w:val="0"/>
                      <w:ind w:left="0" w:firstLine="0" w:firstLineChars="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dit="readOnly"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OWM5ODZlNjc2ZGNmYjNjNWNlNGZlYWM3YzcxZjA2ODEifQ=="/>
  </w:docVars>
  <w:rsids>
    <w:rsidRoot w:val="00000000"/>
    <w:rsid w:val="FBCC5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260" w:beforeAutospacing="0" w:after="22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0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18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beforeAutospacing="0" w:after="16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spacing w:before="240" w:beforeAutospacing="0" w:after="16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spacing w:before="240" w:beforeAutospacing="0" w:after="12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spacing w:before="240" w:beforeAutospacing="0" w:after="12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iPriority w:val="0"/>
    <w:pPr>
      <w:keepNext/>
      <w:keepLines/>
      <w:widowControl w:val="0"/>
      <w:spacing w:before="180" w:beforeAutospacing="0" w:after="64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spacing w:before="180" w:beforeAutospacing="0" w:after="64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ascii="Calibri" w:hAnsi="Calibri" w:eastAsia="微软雅黑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ind w:firstLine="0"/>
      <w:jc w:val="center"/>
    </w:pPr>
    <w:rPr>
      <w:sz w:val="18"/>
      <w:szCs w:val="18"/>
    </w:rPr>
  </w:style>
  <w:style w:type="paragraph" w:customStyle="1" w:styleId="15">
    <w:name w:val="国标"/>
    <w:basedOn w:val="1"/>
    <w:next w:val="12"/>
    <w:link w:val="16"/>
    <w:uiPriority w:val="0"/>
    <w:pPr>
      <w:spacing w:line="560" w:lineRule="exact"/>
      <w:ind w:firstLine="200" w:firstLineChars="200"/>
    </w:pPr>
    <w:rPr>
      <w:rFonts w:ascii="仿宋_GB2312" w:eastAsia="仿宋_GB2312" w:cs="仿宋_GB2312"/>
      <w:snapToGrid w:val="0"/>
      <w:color w:val="000000"/>
      <w:kern w:val="0"/>
      <w:sz w:val="32"/>
      <w:szCs w:val="32"/>
    </w:rPr>
  </w:style>
  <w:style w:type="character" w:customStyle="1" w:styleId="16">
    <w:name w:val="国标 Char"/>
    <w:basedOn w:val="14"/>
    <w:link w:val="15"/>
    <w:uiPriority w:val="0"/>
    <w:rPr>
      <w:rFonts w:ascii="仿宋_GB2312" w:eastAsia="仿宋_GB2312" w:cs="仿宋_GB2312"/>
      <w:snapToGrid w:val="0"/>
      <w:color w:val="000000"/>
      <w:kern w:val="0"/>
      <w:sz w:val="32"/>
      <w:szCs w:val="32"/>
      <w:lang w:val="en-US" w:eastAsia="zh-CN" w:bidi="ar-SA"/>
    </w:rPr>
  </w:style>
  <w:style w:type="paragraph" w:customStyle="1" w:styleId="17">
    <w:name w:val="黑体三"/>
    <w:basedOn w:val="1"/>
    <w:qFormat/>
    <w:uiPriority w:val="0"/>
    <w:pPr>
      <w:spacing w:line="560" w:lineRule="exact"/>
      <w:ind w:left="0" w:firstLine="200" w:firstLineChars="200"/>
      <w:outlineLvl w:val="1"/>
    </w:pPr>
    <w:rPr>
      <w:rFonts w:ascii="Times New Roman" w:hAnsi="Times New Roman" w:eastAsia="黑体" w:cs="Times New Roman"/>
      <w:sz w:val="32"/>
      <w:szCs w:val="22"/>
    </w:rPr>
  </w:style>
  <w:style w:type="paragraph" w:customStyle="1" w:styleId="18">
    <w:name w:val="楷体"/>
    <w:basedOn w:val="1"/>
    <w:link w:val="19"/>
    <w:uiPriority w:val="0"/>
    <w:pPr>
      <w:spacing w:line="560" w:lineRule="exact"/>
      <w:ind w:firstLine="200" w:firstLineChars="200"/>
    </w:pPr>
    <w:rPr>
      <w:rFonts w:ascii="仿宋_GB2312" w:hAnsi="仿宋_GB2312" w:eastAsia="楷体" w:cs="仿宋_GB2312"/>
      <w:b/>
      <w:snapToGrid w:val="0"/>
      <w:color w:val="000000"/>
      <w:kern w:val="0"/>
      <w:sz w:val="32"/>
      <w:szCs w:val="32"/>
    </w:rPr>
  </w:style>
  <w:style w:type="character" w:customStyle="1" w:styleId="19">
    <w:name w:val="楷体 Char"/>
    <w:basedOn w:val="14"/>
    <w:link w:val="18"/>
    <w:uiPriority w:val="0"/>
    <w:rPr>
      <w:rFonts w:ascii="仿宋_GB2312" w:hAnsi="仿宋_GB2312" w:eastAsia="楷体" w:cs="仿宋_GB2312"/>
      <w:b/>
      <w:snapToGrid w:val="0"/>
      <w:color w:val="000000"/>
      <w:kern w:val="0"/>
      <w:sz w:val="32"/>
      <w:szCs w:val="32"/>
      <w:lang w:val="en-US" w:eastAsia="zh-CN" w:bidi="ar-SA"/>
    </w:rPr>
  </w:style>
  <w:style w:type="paragraph" w:customStyle="1" w:styleId="20">
    <w:name w:val="小标宋"/>
    <w:basedOn w:val="15"/>
    <w:next w:val="1"/>
    <w:uiPriority w:val="0"/>
    <w:pPr>
      <w:keepNext/>
      <w:keepLines/>
      <w:widowControl w:val="0"/>
      <w:spacing w:line="560" w:lineRule="exact"/>
      <w:ind w:firstLine="0" w:firstLineChars="0"/>
      <w:outlineLvl w:val="2"/>
    </w:pPr>
    <w:rPr>
      <w:rFonts w:eastAsia="方正小标宋简体"/>
      <w:sz w:val="44"/>
    </w:rPr>
  </w:style>
  <w:style w:type="paragraph" w:customStyle="1" w:styleId="21">
    <w:name w:val="黑体"/>
    <w:basedOn w:val="15"/>
    <w:next w:val="15"/>
    <w:uiPriority w:val="0"/>
    <w:rPr>
      <w:rFonts w:ascii="Calibri" w:hAnsi="Calibri" w:eastAsia="黑体"/>
    </w:rPr>
  </w:style>
  <w:style w:type="character" w:customStyle="1" w:styleId="22">
    <w:name w:val="font21"/>
    <w:basedOn w:val="14"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23">
    <w:name w:val="font61"/>
    <w:basedOn w:val="14"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24">
    <w:name w:val="font81"/>
    <w:basedOn w:val="14"/>
    <w:uiPriority w:val="0"/>
    <w:rPr>
      <w:rFonts w:ascii="TimesNewRoman" w:hAnsi="TimesNewRoman" w:eastAsia="TimesNewRoman" w:cs="TimesNewRoman"/>
      <w:color w:val="000000"/>
      <w:sz w:val="32"/>
      <w:szCs w:val="32"/>
      <w:u w:val="none"/>
    </w:rPr>
  </w:style>
  <w:style w:type="character" w:customStyle="1" w:styleId="25">
    <w:name w:val="font51"/>
    <w:basedOn w:val="14"/>
    <w:qFormat/>
    <w:uiPriority w:val="0"/>
    <w:rPr>
      <w:rFonts w:ascii="TimesNewRoman" w:hAnsi="TimesNewRoman" w:eastAsia="TimesNewRoman" w:cs="TimesNew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7646</Words>
  <Characters>7815</Characters>
  <Lines>818</Lines>
  <Paragraphs>341</Paragraphs>
  <TotalTime>75</TotalTime>
  <ScaleCrop>false</ScaleCrop>
  <LinksUpToDate>false</LinksUpToDate>
  <CharactersWithSpaces>7814</CharactersWithSpaces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2018-05-29T09:24:00Z</dcterms:created>
  <dc:creator>MyPc</dc:creator>
  <cp:lastModifiedBy>uos</cp:lastModifiedBy>
  <cp:lastPrinted>2024-07-26T17:52:00Z</cp:lastPrinted>
  <dcterms:modified xsi:type="dcterms:W3CDTF">2024-08-01T17:42:14Z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woTemplate" linkTarget="0">
    <vt:i4>0</vt:i4>
  </property>
  <property fmtid="{D5CDD505-2E9C-101B-9397-08002B2CF9AE}" pid="4" name="ICV">
    <vt:lpwstr>C3F45A8F77F341B3B1B788B4EBF15209_13</vt:lpwstr>
  </property>
</Properties>
</file>