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ascii="方正小标宋简体" w:hAnsi="宋体" w:eastAsia="方正小标宋简体"/>
          <w:color w:val="auto"/>
          <w:sz w:val="72"/>
          <w:szCs w:val="72"/>
          <w:highlight w:val="none"/>
        </w:rPr>
      </w:pPr>
      <w:bookmarkStart w:id="0" w:name="_Toc15377425"/>
      <w:bookmarkStart w:id="1" w:name="_Toc15396597"/>
      <w:bookmarkStart w:id="2" w:name="_Toc15396475"/>
      <w:bookmarkStart w:id="3" w:name="_Toc15378441"/>
      <w:bookmarkStart w:id="4" w:name="_Toc15377193"/>
      <w:bookmarkStart w:id="5"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24636"/>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0"/>
      <w:bookmarkEnd w:id="1"/>
      <w:bookmarkEnd w:id="2"/>
      <w:bookmarkEnd w:id="3"/>
      <w:bookmarkEnd w:id="4"/>
      <w:bookmarkEnd w:id="6"/>
    </w:p>
    <w:p>
      <w:pPr>
        <w:adjustRightInd w:val="0"/>
        <w:snapToGrid w:val="0"/>
        <w:spacing w:line="360" w:lineRule="auto"/>
        <w:jc w:val="center"/>
        <w:outlineLvl w:val="0"/>
        <w:rPr>
          <w:rFonts w:hint="eastAsia" w:ascii="方正小标宋简体" w:hAnsi="方正小标宋简体" w:eastAsia="方正小标宋简体" w:cs="方正小标宋简体"/>
          <w:color w:val="auto"/>
          <w:w w:val="80"/>
          <w:sz w:val="72"/>
          <w:szCs w:val="72"/>
          <w:highlight w:val="none"/>
          <w:lang w:val="en-US" w:eastAsia="zh-CN"/>
        </w:rPr>
      </w:pPr>
      <w:bookmarkStart w:id="7" w:name="_Toc15377194"/>
      <w:bookmarkStart w:id="8" w:name="_Toc15377426"/>
      <w:bookmarkStart w:id="9" w:name="_Toc15396476"/>
      <w:bookmarkStart w:id="10" w:name="_Toc15396598"/>
      <w:bookmarkStart w:id="11" w:name="_Toc1710"/>
      <w:bookmarkStart w:id="12" w:name="_Toc15378442"/>
      <w:r>
        <w:rPr>
          <w:rFonts w:hint="eastAsia" w:ascii="方正小标宋简体" w:hAnsi="方正小标宋简体" w:eastAsia="方正小标宋简体" w:cs="方正小标宋简体"/>
          <w:color w:val="auto"/>
          <w:w w:val="80"/>
          <w:sz w:val="72"/>
          <w:szCs w:val="72"/>
          <w:highlight w:val="none"/>
          <w:lang w:val="en-US" w:eastAsia="zh-CN"/>
        </w:rPr>
        <w:t>巴中市</w:t>
      </w:r>
      <w:bookmarkEnd w:id="5"/>
      <w:bookmarkStart w:id="13" w:name="_Toc15306268"/>
      <w:r>
        <w:rPr>
          <w:rFonts w:hint="eastAsia" w:ascii="方正小标宋简体" w:hAnsi="方正小标宋简体" w:eastAsia="方正小标宋简体" w:cs="方正小标宋简体"/>
          <w:color w:val="auto"/>
          <w:w w:val="80"/>
          <w:sz w:val="72"/>
          <w:szCs w:val="72"/>
          <w:highlight w:val="none"/>
          <w:lang w:val="en-US" w:eastAsia="zh-CN"/>
        </w:rPr>
        <w:t>政务服务和大数据管理局</w:t>
      </w: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rPr>
        <w:t>部门决算</w:t>
      </w:r>
      <w:bookmarkEnd w:id="7"/>
      <w:bookmarkEnd w:id="8"/>
      <w:bookmarkEnd w:id="9"/>
      <w:bookmarkEnd w:id="10"/>
      <w:bookmarkEnd w:id="11"/>
      <w:bookmarkEnd w:id="12"/>
      <w:bookmarkEnd w:id="13"/>
    </w:p>
    <w:p>
      <w:pPr>
        <w:widowControl/>
        <w:jc w:val="center"/>
        <w:rPr>
          <w:rFonts w:hint="eastAsia" w:ascii="黑体" w:hAnsi="黑体" w:eastAsia="黑体"/>
          <w:color w:val="auto"/>
          <w:sz w:val="48"/>
          <w:szCs w:val="48"/>
          <w:highlight w:val="none"/>
        </w:rPr>
        <w:sectPr>
          <w:headerReference r:id="rId3" w:type="default"/>
          <w:footerReference r:id="rId4" w:type="default"/>
          <w:pgSz w:w="11906" w:h="16838"/>
          <w:pgMar w:top="1984" w:right="1474" w:bottom="1871" w:left="1587" w:header="851" w:footer="992" w:gutter="0"/>
          <w:pgNumType w:start="1"/>
          <w:cols w:space="425" w:num="1"/>
          <w:titlePg/>
          <w:docGrid w:type="lines" w:linePitch="312" w:charSpace="0"/>
        </w:sectPr>
      </w:pPr>
    </w:p>
    <w:p>
      <w:pPr>
        <w:widowControl/>
        <w:jc w:val="center"/>
        <w:rPr>
          <w:rFonts w:ascii="黑体" w:hAnsi="黑体" w:eastAsia="黑体" w:cstheme="minorBidi"/>
          <w:color w:val="auto"/>
          <w:sz w:val="28"/>
          <w:szCs w:val="28"/>
          <w:highlight w:val="none"/>
        </w:rPr>
      </w:pPr>
      <w:r>
        <w:rPr>
          <w:rFonts w:hint="eastAsia" w:ascii="黑体" w:hAnsi="黑体" w:eastAsia="黑体"/>
          <w:color w:val="auto"/>
          <w:sz w:val="48"/>
          <w:szCs w:val="48"/>
          <w:highlight w:val="none"/>
        </w:rPr>
        <w:t>目录</w:t>
      </w:r>
    </w:p>
    <w:p>
      <w:pPr>
        <w:pStyle w:val="12"/>
        <w:rPr>
          <w:color w:val="auto"/>
          <w:highlight w:val="none"/>
        </w:rP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10</w:t>
      </w:r>
      <w:r>
        <w:rPr>
          <w:rFonts w:hint="eastAsia"/>
          <w:color w:val="auto"/>
          <w:highlight w:val="none"/>
        </w:rPr>
        <w:t>月</w:t>
      </w:r>
      <w:r>
        <w:rPr>
          <w:rFonts w:hint="eastAsia"/>
          <w:color w:val="auto"/>
          <w:highlight w:val="none"/>
          <w:lang w:val="en-US" w:eastAsia="zh-CN"/>
        </w:rPr>
        <w:t>13</w:t>
      </w:r>
      <w:r>
        <w:rPr>
          <w:rFonts w:hint="eastAsia"/>
          <w:color w:val="auto"/>
          <w:highlight w:val="none"/>
        </w:rPr>
        <w:t>日</w:t>
      </w:r>
    </w:p>
    <w:p>
      <w:pPr>
        <w:rPr>
          <w:color w:val="auto"/>
          <w:highlight w:val="none"/>
        </w:rPr>
      </w:pPr>
    </w:p>
    <w:sdt>
      <w:sdtPr>
        <w:rPr>
          <w:rFonts w:ascii="宋体" w:hAnsi="宋体" w:eastAsia="宋体" w:cs="Times New Roman"/>
          <w:kern w:val="2"/>
          <w:sz w:val="24"/>
          <w:szCs w:val="24"/>
          <w:lang w:val="en-US" w:eastAsia="zh-CN" w:bidi="ar-SA"/>
        </w:rPr>
        <w:id w:val="147460794"/>
        <w15:color w:val="DBDBDB"/>
        <w:docPartObj>
          <w:docPartGallery w:val="Table of Contents"/>
          <w:docPartUnique/>
        </w:docPartObj>
      </w:sdtPr>
      <w:sdtEndPr>
        <w:rPr>
          <w:rFonts w:ascii="宋体" w:hAnsi="宋体" w:eastAsia="宋体" w:cs="Times New Roman"/>
          <w:b/>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b/>
              <w:sz w:val="24"/>
              <w:szCs w:val="24"/>
            </w:rPr>
          </w:pPr>
          <w:bookmarkStart w:id="14" w:name="_Toc15396599"/>
          <w:bookmarkStart w:id="15" w:name="_Toc15377196"/>
          <w:r>
            <w:rPr>
              <w:sz w:val="24"/>
              <w:szCs w:val="24"/>
            </w:rPr>
            <w:fldChar w:fldCharType="begin"/>
          </w:r>
          <w:r>
            <w:rPr>
              <w:sz w:val="24"/>
              <w:szCs w:val="24"/>
            </w:rPr>
            <w:instrText xml:space="preserve">TOC \o "1-2" \h \u </w:instrText>
          </w:r>
          <w:r>
            <w:rPr>
              <w:sz w:val="24"/>
              <w:szCs w:val="24"/>
            </w:rPr>
            <w:fldChar w:fldCharType="separate"/>
          </w:r>
        </w:p>
        <w:p>
          <w:pPr>
            <w:pStyle w:val="35"/>
            <w:tabs>
              <w:tab w:val="right" w:leader="dot" w:pos="8306"/>
            </w:tabs>
            <w:rPr>
              <w:rFonts w:hint="eastAsia" w:ascii="仿宋" w:hAnsi="仿宋" w:eastAsia="仿宋" w:cs="仿宋"/>
              <w:b/>
              <w:sz w:val="24"/>
              <w:szCs w:val="24"/>
            </w:rPr>
          </w:pP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HYPERLINK \l _Toc18520 </w:instrText>
          </w:r>
          <w:r>
            <w:rPr>
              <w:rFonts w:hint="eastAsia" w:ascii="仿宋" w:hAnsi="仿宋" w:eastAsia="仿宋" w:cs="仿宋"/>
              <w:b/>
              <w:sz w:val="24"/>
              <w:szCs w:val="24"/>
            </w:rPr>
            <w:fldChar w:fldCharType="separate"/>
          </w:r>
          <w:r>
            <w:rPr>
              <w:rFonts w:hint="eastAsia" w:ascii="仿宋" w:hAnsi="仿宋" w:eastAsia="仿宋" w:cs="仿宋"/>
              <w:b/>
              <w:sz w:val="24"/>
              <w:szCs w:val="24"/>
              <w:highlight w:val="none"/>
            </w:rPr>
            <w:t xml:space="preserve">第一部分 </w:t>
          </w:r>
          <w:r>
            <w:rPr>
              <w:rFonts w:hint="eastAsia" w:ascii="仿宋" w:hAnsi="仿宋" w:eastAsia="仿宋" w:cs="仿宋"/>
              <w:b/>
              <w:bCs w:val="0"/>
              <w:sz w:val="24"/>
              <w:szCs w:val="24"/>
              <w:highlight w:val="none"/>
            </w:rPr>
            <w:t>部门概况</w:t>
          </w:r>
          <w:r>
            <w:rPr>
              <w:rFonts w:hint="eastAsia" w:ascii="仿宋" w:hAnsi="仿宋" w:eastAsia="仿宋" w:cs="仿宋"/>
              <w:b/>
              <w:sz w:val="24"/>
              <w:szCs w:val="24"/>
            </w:rPr>
            <w:tab/>
          </w:r>
          <w:r>
            <w:rPr>
              <w:rFonts w:hint="eastAsia" w:ascii="仿宋" w:hAnsi="仿宋" w:eastAsia="仿宋" w:cs="仿宋"/>
              <w:b/>
              <w:sz w:val="24"/>
              <w:szCs w:val="24"/>
              <w:lang w:val="en-US" w:eastAsia="zh-CN"/>
            </w:rPr>
            <w:t>1</w:t>
          </w:r>
          <w:r>
            <w:rPr>
              <w:rFonts w:hint="eastAsia" w:ascii="仿宋" w:hAnsi="仿宋" w:eastAsia="仿宋" w:cs="仿宋"/>
              <w:b/>
              <w:sz w:val="24"/>
              <w:szCs w:val="24"/>
            </w:rPr>
            <w:fldChar w:fldCharType="end"/>
          </w:r>
        </w:p>
        <w:p>
          <w:pPr>
            <w:pStyle w:val="3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_Toc7397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一、</w:t>
          </w:r>
          <w:r>
            <w:rPr>
              <w:rFonts w:hint="eastAsia" w:ascii="仿宋" w:hAnsi="仿宋" w:eastAsia="仿宋" w:cs="仿宋"/>
              <w:sz w:val="24"/>
              <w:szCs w:val="24"/>
              <w:highlight w:val="none"/>
              <w:lang w:eastAsia="zh-CN"/>
            </w:rPr>
            <w:t>部门职责</w:t>
          </w:r>
          <w:r>
            <w:rPr>
              <w:rFonts w:hint="eastAsia" w:ascii="仿宋" w:hAnsi="仿宋" w:eastAsia="仿宋" w:cs="仿宋"/>
              <w:sz w:val="24"/>
              <w:szCs w:val="24"/>
            </w:rPr>
            <w:tab/>
          </w:r>
          <w:r>
            <w:rPr>
              <w:rFonts w:hint="eastAsia" w:ascii="仿宋" w:hAnsi="仿宋" w:eastAsia="仿宋" w:cs="仿宋"/>
              <w:sz w:val="24"/>
              <w:szCs w:val="24"/>
              <w:lang w:val="en-US" w:eastAsia="zh-CN"/>
            </w:rPr>
            <w:t>1</w:t>
          </w:r>
          <w:r>
            <w:rPr>
              <w:rFonts w:hint="eastAsia" w:ascii="仿宋" w:hAnsi="仿宋" w:eastAsia="仿宋" w:cs="仿宋"/>
              <w:sz w:val="24"/>
              <w:szCs w:val="24"/>
            </w:rPr>
            <w:fldChar w:fldCharType="end"/>
          </w:r>
        </w:p>
        <w:p>
          <w:pPr>
            <w:pStyle w:val="3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_Toc30462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二、机</w:t>
          </w:r>
          <w:r>
            <w:rPr>
              <w:rFonts w:hint="eastAsia" w:ascii="仿宋" w:hAnsi="仿宋" w:eastAsia="仿宋" w:cs="仿宋"/>
              <w:bCs w:val="0"/>
              <w:sz w:val="24"/>
              <w:szCs w:val="24"/>
              <w:highlight w:val="none"/>
            </w:rPr>
            <w:t>构设置</w:t>
          </w:r>
          <w:r>
            <w:rPr>
              <w:rFonts w:hint="eastAsia" w:ascii="仿宋" w:hAnsi="仿宋" w:eastAsia="仿宋" w:cs="仿宋"/>
              <w:sz w:val="24"/>
              <w:szCs w:val="24"/>
            </w:rPr>
            <w:tab/>
          </w:r>
          <w:r>
            <w:rPr>
              <w:rFonts w:hint="eastAsia" w:ascii="仿宋" w:hAnsi="仿宋" w:eastAsia="仿宋" w:cs="仿宋"/>
              <w:sz w:val="24"/>
              <w:szCs w:val="24"/>
              <w:lang w:val="en-US" w:eastAsia="zh-CN"/>
            </w:rPr>
            <w:t>2</w:t>
          </w:r>
          <w:r>
            <w:rPr>
              <w:rFonts w:hint="eastAsia" w:ascii="仿宋" w:hAnsi="仿宋" w:eastAsia="仿宋" w:cs="仿宋"/>
              <w:sz w:val="24"/>
              <w:szCs w:val="24"/>
            </w:rPr>
            <w:fldChar w:fldCharType="end"/>
          </w:r>
        </w:p>
        <w:p>
          <w:pPr>
            <w:pStyle w:val="35"/>
            <w:tabs>
              <w:tab w:val="right" w:leader="dot" w:pos="8306"/>
            </w:tabs>
            <w:rPr>
              <w:rFonts w:hint="eastAsia" w:ascii="仿宋" w:hAnsi="仿宋" w:eastAsia="仿宋" w:cs="仿宋"/>
              <w:b/>
              <w:sz w:val="24"/>
              <w:szCs w:val="24"/>
            </w:rPr>
          </w:pP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HYPERLINK \l _Toc13386 </w:instrText>
          </w:r>
          <w:r>
            <w:rPr>
              <w:rFonts w:hint="eastAsia" w:ascii="仿宋" w:hAnsi="仿宋" w:eastAsia="仿宋" w:cs="仿宋"/>
              <w:b/>
              <w:sz w:val="24"/>
              <w:szCs w:val="24"/>
            </w:rPr>
            <w:fldChar w:fldCharType="separate"/>
          </w:r>
          <w:r>
            <w:rPr>
              <w:rFonts w:hint="eastAsia" w:ascii="仿宋" w:hAnsi="仿宋" w:eastAsia="仿宋" w:cs="仿宋"/>
              <w:b/>
              <w:bCs/>
              <w:sz w:val="24"/>
              <w:szCs w:val="24"/>
              <w:highlight w:val="none"/>
            </w:rPr>
            <w:t xml:space="preserve">第二部分 </w:t>
          </w:r>
          <w:r>
            <w:rPr>
              <w:rFonts w:hint="eastAsia" w:ascii="仿宋" w:hAnsi="仿宋" w:eastAsia="仿宋" w:cs="仿宋"/>
              <w:b/>
              <w:bCs/>
              <w:sz w:val="24"/>
              <w:szCs w:val="24"/>
              <w:highlight w:val="none"/>
              <w:lang w:val="en-US" w:eastAsia="zh-CN"/>
            </w:rPr>
            <w:t>2022年度</w:t>
          </w:r>
          <w:r>
            <w:rPr>
              <w:rFonts w:hint="eastAsia" w:ascii="仿宋" w:hAnsi="仿宋" w:eastAsia="仿宋" w:cs="仿宋"/>
              <w:b/>
              <w:bCs/>
              <w:sz w:val="24"/>
              <w:szCs w:val="24"/>
              <w:highlight w:val="none"/>
            </w:rPr>
            <w:t>部门决算情况说明</w:t>
          </w:r>
          <w:r>
            <w:rPr>
              <w:rFonts w:hint="eastAsia" w:ascii="仿宋" w:hAnsi="仿宋" w:eastAsia="仿宋" w:cs="仿宋"/>
              <w:b/>
              <w:sz w:val="24"/>
              <w:szCs w:val="24"/>
            </w:rPr>
            <w:tab/>
          </w:r>
          <w:r>
            <w:rPr>
              <w:rFonts w:hint="eastAsia" w:ascii="仿宋" w:hAnsi="仿宋" w:eastAsia="仿宋" w:cs="仿宋"/>
              <w:b/>
              <w:sz w:val="24"/>
              <w:szCs w:val="24"/>
              <w:lang w:val="en-US" w:eastAsia="zh-CN"/>
            </w:rPr>
            <w:t>3</w:t>
          </w:r>
          <w:r>
            <w:rPr>
              <w:rFonts w:hint="eastAsia" w:ascii="仿宋" w:hAnsi="仿宋" w:eastAsia="仿宋" w:cs="仿宋"/>
              <w:b/>
              <w:sz w:val="24"/>
              <w:szCs w:val="24"/>
            </w:rPr>
            <w:fldChar w:fldCharType="end"/>
          </w:r>
        </w:p>
        <w:p>
          <w:pPr>
            <w:pStyle w:val="3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_Toc30653 </w:instrText>
          </w:r>
          <w:r>
            <w:rPr>
              <w:rFonts w:hint="eastAsia" w:ascii="仿宋" w:hAnsi="仿宋" w:eastAsia="仿宋" w:cs="仿宋"/>
              <w:sz w:val="24"/>
              <w:szCs w:val="24"/>
            </w:rPr>
            <w:fldChar w:fldCharType="separate"/>
          </w:r>
          <w:r>
            <w:rPr>
              <w:rFonts w:hint="eastAsia" w:ascii="仿宋" w:hAnsi="仿宋" w:eastAsia="仿宋" w:cs="仿宋"/>
              <w:sz w:val="24"/>
              <w:szCs w:val="24"/>
            </w:rPr>
            <w:t xml:space="preserve">一、 </w:t>
          </w:r>
          <w:r>
            <w:rPr>
              <w:rFonts w:hint="eastAsia" w:ascii="仿宋" w:hAnsi="仿宋" w:eastAsia="仿宋" w:cs="仿宋"/>
              <w:sz w:val="24"/>
              <w:szCs w:val="24"/>
              <w:highlight w:val="none"/>
            </w:rPr>
            <w:t>收入支出决算总体情况说明</w:t>
          </w:r>
          <w:r>
            <w:rPr>
              <w:rFonts w:hint="eastAsia" w:ascii="仿宋" w:hAnsi="仿宋" w:eastAsia="仿宋" w:cs="仿宋"/>
              <w:sz w:val="24"/>
              <w:szCs w:val="24"/>
            </w:rPr>
            <w:tab/>
          </w:r>
          <w:r>
            <w:rPr>
              <w:rFonts w:hint="eastAsia" w:ascii="仿宋" w:hAnsi="仿宋" w:eastAsia="仿宋" w:cs="仿宋"/>
              <w:sz w:val="24"/>
              <w:szCs w:val="24"/>
              <w:lang w:val="en-US" w:eastAsia="zh-CN"/>
            </w:rPr>
            <w:t>3</w:t>
          </w:r>
          <w:r>
            <w:rPr>
              <w:rFonts w:hint="eastAsia" w:ascii="仿宋" w:hAnsi="仿宋" w:eastAsia="仿宋" w:cs="仿宋"/>
              <w:sz w:val="24"/>
              <w:szCs w:val="24"/>
            </w:rPr>
            <w:fldChar w:fldCharType="end"/>
          </w:r>
        </w:p>
        <w:p>
          <w:pPr>
            <w:pStyle w:val="3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_Toc25008 </w:instrText>
          </w:r>
          <w:r>
            <w:rPr>
              <w:rFonts w:hint="eastAsia" w:ascii="仿宋" w:hAnsi="仿宋" w:eastAsia="仿宋" w:cs="仿宋"/>
              <w:sz w:val="24"/>
              <w:szCs w:val="24"/>
            </w:rPr>
            <w:fldChar w:fldCharType="separate"/>
          </w:r>
          <w:r>
            <w:rPr>
              <w:rFonts w:hint="eastAsia" w:ascii="仿宋" w:hAnsi="仿宋" w:eastAsia="仿宋" w:cs="仿宋"/>
              <w:sz w:val="24"/>
              <w:szCs w:val="24"/>
            </w:rPr>
            <w:t xml:space="preserve">二、 </w:t>
          </w:r>
          <w:r>
            <w:rPr>
              <w:rFonts w:hint="eastAsia" w:ascii="仿宋" w:hAnsi="仿宋" w:eastAsia="仿宋" w:cs="仿宋"/>
              <w:sz w:val="24"/>
              <w:szCs w:val="24"/>
              <w:highlight w:val="none"/>
            </w:rPr>
            <w:t>收入决算情况说明</w:t>
          </w:r>
          <w:r>
            <w:rPr>
              <w:rFonts w:hint="eastAsia" w:ascii="仿宋" w:hAnsi="仿宋" w:eastAsia="仿宋" w:cs="仿宋"/>
              <w:sz w:val="24"/>
              <w:szCs w:val="24"/>
            </w:rPr>
            <w:tab/>
          </w:r>
          <w:r>
            <w:rPr>
              <w:rFonts w:hint="eastAsia" w:ascii="仿宋" w:hAnsi="仿宋" w:eastAsia="仿宋" w:cs="仿宋"/>
              <w:sz w:val="24"/>
              <w:szCs w:val="24"/>
              <w:lang w:val="en-US" w:eastAsia="zh-CN"/>
            </w:rPr>
            <w:t>3</w:t>
          </w:r>
          <w:r>
            <w:rPr>
              <w:rFonts w:hint="eastAsia" w:ascii="仿宋" w:hAnsi="仿宋" w:eastAsia="仿宋" w:cs="仿宋"/>
              <w:sz w:val="24"/>
              <w:szCs w:val="24"/>
            </w:rPr>
            <w:fldChar w:fldCharType="end"/>
          </w:r>
        </w:p>
        <w:p>
          <w:pPr>
            <w:pStyle w:val="3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_Toc834 </w:instrText>
          </w:r>
          <w:r>
            <w:rPr>
              <w:rFonts w:hint="eastAsia" w:ascii="仿宋" w:hAnsi="仿宋" w:eastAsia="仿宋" w:cs="仿宋"/>
              <w:sz w:val="24"/>
              <w:szCs w:val="24"/>
            </w:rPr>
            <w:fldChar w:fldCharType="separate"/>
          </w:r>
          <w:r>
            <w:rPr>
              <w:rFonts w:hint="eastAsia" w:ascii="仿宋" w:hAnsi="仿宋" w:eastAsia="仿宋" w:cs="仿宋"/>
              <w:sz w:val="24"/>
              <w:szCs w:val="24"/>
            </w:rPr>
            <w:t xml:space="preserve">三、 </w:t>
          </w:r>
          <w:r>
            <w:rPr>
              <w:rFonts w:hint="eastAsia" w:ascii="仿宋" w:hAnsi="仿宋" w:eastAsia="仿宋" w:cs="仿宋"/>
              <w:sz w:val="24"/>
              <w:szCs w:val="24"/>
              <w:highlight w:val="none"/>
            </w:rPr>
            <w:t>支出决算情况说明</w:t>
          </w:r>
          <w:r>
            <w:rPr>
              <w:rFonts w:hint="eastAsia" w:ascii="仿宋" w:hAnsi="仿宋" w:eastAsia="仿宋" w:cs="仿宋"/>
              <w:sz w:val="24"/>
              <w:szCs w:val="24"/>
            </w:rPr>
            <w:tab/>
          </w:r>
          <w:r>
            <w:rPr>
              <w:rFonts w:hint="eastAsia" w:ascii="仿宋" w:hAnsi="仿宋" w:eastAsia="仿宋" w:cs="仿宋"/>
              <w:sz w:val="24"/>
              <w:szCs w:val="24"/>
              <w:lang w:val="en-US" w:eastAsia="zh-CN"/>
            </w:rPr>
            <w:t>4</w:t>
          </w:r>
          <w:r>
            <w:rPr>
              <w:rFonts w:hint="eastAsia" w:ascii="仿宋" w:hAnsi="仿宋" w:eastAsia="仿宋" w:cs="仿宋"/>
              <w:sz w:val="24"/>
              <w:szCs w:val="24"/>
            </w:rPr>
            <w:fldChar w:fldCharType="end"/>
          </w:r>
        </w:p>
        <w:p>
          <w:pPr>
            <w:pStyle w:val="3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_Toc11972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四、财政拨款收入支出决算总体情况说明</w:t>
          </w:r>
          <w:r>
            <w:rPr>
              <w:rFonts w:hint="eastAsia" w:ascii="仿宋" w:hAnsi="仿宋" w:eastAsia="仿宋" w:cs="仿宋"/>
              <w:sz w:val="24"/>
              <w:szCs w:val="24"/>
            </w:rPr>
            <w:tab/>
          </w:r>
          <w:r>
            <w:rPr>
              <w:rFonts w:hint="eastAsia" w:ascii="仿宋" w:hAnsi="仿宋" w:eastAsia="仿宋" w:cs="仿宋"/>
              <w:sz w:val="24"/>
              <w:szCs w:val="24"/>
              <w:lang w:val="en-US" w:eastAsia="zh-CN"/>
            </w:rPr>
            <w:t>4</w:t>
          </w:r>
          <w:r>
            <w:rPr>
              <w:rFonts w:hint="eastAsia" w:ascii="仿宋" w:hAnsi="仿宋" w:eastAsia="仿宋" w:cs="仿宋"/>
              <w:sz w:val="24"/>
              <w:szCs w:val="24"/>
            </w:rPr>
            <w:fldChar w:fldCharType="end"/>
          </w:r>
        </w:p>
        <w:p>
          <w:pPr>
            <w:pStyle w:val="3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_Toc6906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五、一般公共预算财政拨款支出决算情况说明</w:t>
          </w:r>
          <w:r>
            <w:rPr>
              <w:rFonts w:hint="eastAsia" w:ascii="仿宋" w:hAnsi="仿宋" w:eastAsia="仿宋" w:cs="仿宋"/>
              <w:sz w:val="24"/>
              <w:szCs w:val="24"/>
            </w:rPr>
            <w:tab/>
          </w:r>
          <w:r>
            <w:rPr>
              <w:rFonts w:hint="eastAsia" w:ascii="仿宋" w:hAnsi="仿宋" w:eastAsia="仿宋" w:cs="仿宋"/>
              <w:sz w:val="24"/>
              <w:szCs w:val="24"/>
              <w:lang w:val="en-US" w:eastAsia="zh-CN"/>
            </w:rPr>
            <w:t>5</w:t>
          </w:r>
          <w:r>
            <w:rPr>
              <w:rFonts w:hint="eastAsia" w:ascii="仿宋" w:hAnsi="仿宋" w:eastAsia="仿宋" w:cs="仿宋"/>
              <w:sz w:val="24"/>
              <w:szCs w:val="24"/>
            </w:rPr>
            <w:fldChar w:fldCharType="end"/>
          </w:r>
        </w:p>
        <w:p>
          <w:pPr>
            <w:pStyle w:val="3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_Toc4396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六、一般公共预算财政拨款基本支出决算情况说明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_Toc4396 \h </w:instrText>
          </w:r>
          <w:r>
            <w:rPr>
              <w:rFonts w:hint="eastAsia" w:ascii="仿宋" w:hAnsi="仿宋" w:eastAsia="仿宋" w:cs="仿宋"/>
              <w:sz w:val="24"/>
              <w:szCs w:val="24"/>
            </w:rPr>
            <w:fldChar w:fldCharType="separate"/>
          </w:r>
          <w:r>
            <w:rPr>
              <w:rFonts w:hint="eastAsia" w:ascii="仿宋" w:hAnsi="仿宋" w:eastAsia="仿宋" w:cs="仿宋"/>
              <w:sz w:val="24"/>
              <w:szCs w:val="24"/>
            </w:rPr>
            <w:t>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_Toc2375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七、财政拨款“三公”经费支出决算情况说明</w:t>
          </w:r>
          <w:r>
            <w:rPr>
              <w:rFonts w:hint="eastAsia" w:ascii="仿宋" w:hAnsi="仿宋" w:eastAsia="仿宋" w:cs="仿宋"/>
              <w:sz w:val="24"/>
              <w:szCs w:val="24"/>
            </w:rPr>
            <w:tab/>
          </w:r>
          <w:r>
            <w:rPr>
              <w:rFonts w:hint="eastAsia" w:ascii="仿宋" w:hAnsi="仿宋" w:eastAsia="仿宋" w:cs="仿宋"/>
              <w:sz w:val="24"/>
              <w:szCs w:val="24"/>
              <w:lang w:val="en-US" w:eastAsia="zh-CN"/>
            </w:rPr>
            <w:t>8</w:t>
          </w:r>
          <w:r>
            <w:rPr>
              <w:rFonts w:hint="eastAsia" w:ascii="仿宋" w:hAnsi="仿宋" w:eastAsia="仿宋" w:cs="仿宋"/>
              <w:sz w:val="24"/>
              <w:szCs w:val="24"/>
            </w:rPr>
            <w:fldChar w:fldCharType="end"/>
          </w:r>
        </w:p>
        <w:p>
          <w:pPr>
            <w:pStyle w:val="3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_Toc6418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八、政府性基金预算支出决算情况说明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_Toc6418 \h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lang w:val="en-US" w:eastAsia="zh-CN"/>
            </w:rPr>
            <w:t>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_Toc14989 </w:instrText>
          </w:r>
          <w:r>
            <w:rPr>
              <w:rFonts w:hint="eastAsia" w:ascii="仿宋" w:hAnsi="仿宋" w:eastAsia="仿宋" w:cs="仿宋"/>
              <w:sz w:val="24"/>
              <w:szCs w:val="24"/>
            </w:rPr>
            <w:fldChar w:fldCharType="separate"/>
          </w:r>
          <w:r>
            <w:rPr>
              <w:rFonts w:hint="eastAsia" w:ascii="仿宋" w:hAnsi="仿宋" w:eastAsia="仿宋" w:cs="仿宋"/>
              <w:sz w:val="24"/>
              <w:szCs w:val="24"/>
            </w:rPr>
            <w:t xml:space="preserve">九、 </w:t>
          </w:r>
          <w:r>
            <w:rPr>
              <w:rFonts w:hint="eastAsia" w:ascii="仿宋" w:hAnsi="仿宋" w:eastAsia="仿宋" w:cs="仿宋"/>
              <w:sz w:val="24"/>
              <w:szCs w:val="24"/>
              <w:highlight w:val="none"/>
            </w:rPr>
            <w:t>国有资本经营预算支出决算情况说明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_Toc14989 \h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lang w:val="en-US" w:eastAsia="zh-CN"/>
            </w:rPr>
            <w:t>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_Toc30716 </w:instrText>
          </w:r>
          <w:r>
            <w:rPr>
              <w:rFonts w:hint="eastAsia" w:ascii="仿宋" w:hAnsi="仿宋" w:eastAsia="仿宋" w:cs="仿宋"/>
              <w:sz w:val="24"/>
              <w:szCs w:val="24"/>
            </w:rPr>
            <w:fldChar w:fldCharType="separate"/>
          </w:r>
          <w:r>
            <w:rPr>
              <w:rFonts w:hint="eastAsia" w:ascii="仿宋" w:hAnsi="仿宋" w:eastAsia="仿宋" w:cs="仿宋"/>
              <w:sz w:val="24"/>
              <w:szCs w:val="24"/>
            </w:rPr>
            <w:t xml:space="preserve">十、 </w:t>
          </w:r>
          <w:r>
            <w:rPr>
              <w:rFonts w:hint="eastAsia" w:ascii="仿宋" w:hAnsi="仿宋" w:eastAsia="仿宋" w:cs="仿宋"/>
              <w:sz w:val="24"/>
              <w:szCs w:val="24"/>
              <w:highlight w:val="none"/>
            </w:rPr>
            <w:t>其他重要事项的情况说明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_Toc30716 \h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lang w:val="en-US" w:eastAsia="zh-CN"/>
            </w:rPr>
            <w:t>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5"/>
            <w:tabs>
              <w:tab w:val="right" w:leader="dot" w:pos="8306"/>
            </w:tabs>
            <w:rPr>
              <w:rFonts w:hint="eastAsia" w:ascii="仿宋" w:hAnsi="仿宋" w:eastAsia="仿宋" w:cs="仿宋"/>
              <w:b/>
              <w:sz w:val="24"/>
              <w:szCs w:val="24"/>
            </w:rPr>
          </w:pP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HYPERLINK \l _Toc23740 </w:instrText>
          </w:r>
          <w:r>
            <w:rPr>
              <w:rFonts w:hint="eastAsia" w:ascii="仿宋" w:hAnsi="仿宋" w:eastAsia="仿宋" w:cs="仿宋"/>
              <w:b/>
              <w:sz w:val="24"/>
              <w:szCs w:val="24"/>
            </w:rPr>
            <w:fldChar w:fldCharType="separate"/>
          </w:r>
          <w:r>
            <w:rPr>
              <w:rFonts w:hint="eastAsia" w:ascii="仿宋" w:hAnsi="仿宋" w:eastAsia="仿宋" w:cs="仿宋"/>
              <w:b/>
              <w:sz w:val="24"/>
              <w:szCs w:val="24"/>
            </w:rPr>
            <w:t xml:space="preserve">第三部分 </w:t>
          </w:r>
          <w:r>
            <w:rPr>
              <w:rFonts w:hint="eastAsia" w:ascii="仿宋" w:hAnsi="仿宋" w:eastAsia="仿宋" w:cs="仿宋"/>
              <w:b/>
              <w:sz w:val="24"/>
              <w:szCs w:val="24"/>
              <w:highlight w:val="none"/>
            </w:rPr>
            <w:t>名词解释</w:t>
          </w:r>
          <w:r>
            <w:rPr>
              <w:rFonts w:hint="eastAsia" w:ascii="仿宋" w:hAnsi="仿宋" w:eastAsia="仿宋" w:cs="仿宋"/>
              <w:b/>
              <w:sz w:val="24"/>
              <w:szCs w:val="24"/>
            </w:rPr>
            <w:tab/>
          </w: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PAGEREF _Toc23740 \h </w:instrText>
          </w:r>
          <w:r>
            <w:rPr>
              <w:rFonts w:hint="eastAsia" w:ascii="仿宋" w:hAnsi="仿宋" w:eastAsia="仿宋" w:cs="仿宋"/>
              <w:b/>
              <w:sz w:val="24"/>
              <w:szCs w:val="24"/>
            </w:rPr>
            <w:fldChar w:fldCharType="separate"/>
          </w:r>
          <w:r>
            <w:rPr>
              <w:rFonts w:hint="eastAsia" w:ascii="仿宋" w:hAnsi="仿宋" w:eastAsia="仿宋" w:cs="仿宋"/>
              <w:b/>
              <w:sz w:val="24"/>
              <w:szCs w:val="24"/>
            </w:rPr>
            <w:t>1</w:t>
          </w:r>
          <w:r>
            <w:rPr>
              <w:rFonts w:hint="eastAsia" w:ascii="仿宋" w:hAnsi="仿宋" w:eastAsia="仿宋" w:cs="仿宋"/>
              <w:b/>
              <w:sz w:val="24"/>
              <w:szCs w:val="24"/>
              <w:lang w:val="en-US" w:eastAsia="zh-CN"/>
            </w:rPr>
            <w:t>2</w:t>
          </w:r>
          <w:r>
            <w:rPr>
              <w:rFonts w:hint="eastAsia" w:ascii="仿宋" w:hAnsi="仿宋" w:eastAsia="仿宋" w:cs="仿宋"/>
              <w:b/>
              <w:sz w:val="24"/>
              <w:szCs w:val="24"/>
            </w:rPr>
            <w:fldChar w:fldCharType="end"/>
          </w:r>
          <w:r>
            <w:rPr>
              <w:rFonts w:hint="eastAsia" w:ascii="仿宋" w:hAnsi="仿宋" w:eastAsia="仿宋" w:cs="仿宋"/>
              <w:b/>
              <w:sz w:val="24"/>
              <w:szCs w:val="24"/>
            </w:rPr>
            <w:fldChar w:fldCharType="end"/>
          </w:r>
        </w:p>
        <w:p>
          <w:pPr>
            <w:pStyle w:val="35"/>
            <w:tabs>
              <w:tab w:val="right" w:leader="dot" w:pos="8306"/>
            </w:tabs>
            <w:rPr>
              <w:rFonts w:hint="eastAsia" w:ascii="仿宋" w:hAnsi="仿宋" w:eastAsia="仿宋" w:cs="仿宋"/>
              <w:b/>
              <w:sz w:val="24"/>
              <w:szCs w:val="24"/>
            </w:rPr>
          </w:pP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HYPERLINK \l _Toc28035 </w:instrText>
          </w:r>
          <w:r>
            <w:rPr>
              <w:rFonts w:hint="eastAsia" w:ascii="仿宋" w:hAnsi="仿宋" w:eastAsia="仿宋" w:cs="仿宋"/>
              <w:b/>
              <w:sz w:val="24"/>
              <w:szCs w:val="24"/>
            </w:rPr>
            <w:fldChar w:fldCharType="separate"/>
          </w:r>
          <w:r>
            <w:rPr>
              <w:rFonts w:hint="eastAsia" w:ascii="仿宋" w:hAnsi="仿宋" w:eastAsia="仿宋" w:cs="仿宋"/>
              <w:b/>
              <w:sz w:val="24"/>
              <w:szCs w:val="24"/>
              <w:highlight w:val="none"/>
            </w:rPr>
            <w:t>第四部分 附件</w:t>
          </w:r>
          <w:r>
            <w:rPr>
              <w:rFonts w:hint="eastAsia" w:ascii="仿宋" w:hAnsi="仿宋" w:eastAsia="仿宋" w:cs="仿宋"/>
              <w:b/>
              <w:sz w:val="24"/>
              <w:szCs w:val="24"/>
            </w:rPr>
            <w:tab/>
          </w: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PAGEREF _Toc28035 \h </w:instrText>
          </w:r>
          <w:r>
            <w:rPr>
              <w:rFonts w:hint="eastAsia" w:ascii="仿宋" w:hAnsi="仿宋" w:eastAsia="仿宋" w:cs="仿宋"/>
              <w:b/>
              <w:sz w:val="24"/>
              <w:szCs w:val="24"/>
            </w:rPr>
            <w:fldChar w:fldCharType="separate"/>
          </w:r>
          <w:r>
            <w:rPr>
              <w:rFonts w:hint="eastAsia" w:ascii="仿宋" w:hAnsi="仿宋" w:eastAsia="仿宋" w:cs="仿宋"/>
              <w:b/>
              <w:sz w:val="24"/>
              <w:szCs w:val="24"/>
            </w:rPr>
            <w:t>16</w:t>
          </w:r>
          <w:r>
            <w:rPr>
              <w:rFonts w:hint="eastAsia" w:ascii="仿宋" w:hAnsi="仿宋" w:eastAsia="仿宋" w:cs="仿宋"/>
              <w:b/>
              <w:sz w:val="24"/>
              <w:szCs w:val="24"/>
            </w:rPr>
            <w:fldChar w:fldCharType="end"/>
          </w:r>
          <w:r>
            <w:rPr>
              <w:rFonts w:hint="eastAsia" w:ascii="仿宋" w:hAnsi="仿宋" w:eastAsia="仿宋" w:cs="仿宋"/>
              <w:b/>
              <w:sz w:val="24"/>
              <w:szCs w:val="24"/>
            </w:rPr>
            <w:fldChar w:fldCharType="end"/>
          </w:r>
        </w:p>
        <w:p>
          <w:pPr>
            <w:pStyle w:val="36"/>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_Toc26800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附件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_Toc26800 \h </w:instrText>
          </w:r>
          <w:r>
            <w:rPr>
              <w:rFonts w:hint="eastAsia" w:ascii="仿宋" w:hAnsi="仿宋" w:eastAsia="仿宋" w:cs="仿宋"/>
              <w:sz w:val="24"/>
              <w:szCs w:val="24"/>
            </w:rPr>
            <w:fldChar w:fldCharType="separate"/>
          </w:r>
          <w:r>
            <w:rPr>
              <w:rFonts w:hint="eastAsia" w:ascii="仿宋" w:hAnsi="仿宋" w:eastAsia="仿宋" w:cs="仿宋"/>
              <w:sz w:val="24"/>
              <w:szCs w:val="24"/>
            </w:rPr>
            <w:t>16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5"/>
            <w:tabs>
              <w:tab w:val="right" w:leader="dot" w:pos="8306"/>
            </w:tabs>
            <w:rPr>
              <w:rFonts w:hint="eastAsia" w:ascii="仿宋" w:hAnsi="仿宋" w:eastAsia="仿宋" w:cs="仿宋"/>
              <w:b/>
              <w:sz w:val="24"/>
              <w:szCs w:val="24"/>
              <w:lang w:val="en-US" w:eastAsia="zh-CN"/>
            </w:rPr>
          </w:pP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HYPERLINK \l _Toc22884 </w:instrText>
          </w:r>
          <w:r>
            <w:rPr>
              <w:rFonts w:hint="eastAsia" w:ascii="仿宋" w:hAnsi="仿宋" w:eastAsia="仿宋" w:cs="仿宋"/>
              <w:b/>
              <w:sz w:val="24"/>
              <w:szCs w:val="24"/>
            </w:rPr>
            <w:fldChar w:fldCharType="separate"/>
          </w:r>
          <w:r>
            <w:rPr>
              <w:rFonts w:hint="eastAsia" w:ascii="仿宋" w:hAnsi="仿宋" w:eastAsia="仿宋" w:cs="仿宋"/>
              <w:b/>
              <w:sz w:val="24"/>
              <w:szCs w:val="24"/>
              <w:highlight w:val="none"/>
            </w:rPr>
            <w:t>第五部分 附表</w:t>
          </w:r>
          <w:r>
            <w:rPr>
              <w:rFonts w:hint="eastAsia" w:ascii="仿宋" w:hAnsi="仿宋" w:eastAsia="仿宋" w:cs="仿宋"/>
              <w:b/>
              <w:sz w:val="24"/>
              <w:szCs w:val="24"/>
            </w:rPr>
            <w:tab/>
          </w: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PAGEREF _Toc22884 \h </w:instrText>
          </w:r>
          <w:r>
            <w:rPr>
              <w:rFonts w:hint="eastAsia" w:ascii="仿宋" w:hAnsi="仿宋" w:eastAsia="仿宋" w:cs="仿宋"/>
              <w:b/>
              <w:sz w:val="24"/>
              <w:szCs w:val="24"/>
            </w:rPr>
            <w:fldChar w:fldCharType="separate"/>
          </w:r>
          <w:r>
            <w:rPr>
              <w:rFonts w:hint="eastAsia" w:ascii="仿宋" w:hAnsi="仿宋" w:eastAsia="仿宋" w:cs="仿宋"/>
              <w:b/>
              <w:sz w:val="24"/>
              <w:szCs w:val="24"/>
              <w:lang w:val="en-US" w:eastAsia="zh-CN"/>
            </w:rPr>
            <w:t>3</w:t>
          </w:r>
          <w:r>
            <w:rPr>
              <w:rFonts w:hint="eastAsia" w:ascii="仿宋" w:hAnsi="仿宋" w:eastAsia="仿宋" w:cs="仿宋"/>
              <w:b/>
              <w:sz w:val="24"/>
              <w:szCs w:val="24"/>
            </w:rPr>
            <w:fldChar w:fldCharType="end"/>
          </w:r>
          <w:r>
            <w:rPr>
              <w:rFonts w:hint="eastAsia" w:ascii="仿宋" w:hAnsi="仿宋" w:eastAsia="仿宋" w:cs="仿宋"/>
              <w:b/>
              <w:sz w:val="24"/>
              <w:szCs w:val="24"/>
            </w:rPr>
            <w:fldChar w:fldCharType="end"/>
          </w:r>
          <w:r>
            <w:rPr>
              <w:rFonts w:hint="eastAsia" w:ascii="仿宋" w:hAnsi="仿宋" w:eastAsia="仿宋" w:cs="仿宋"/>
              <w:b/>
              <w:sz w:val="24"/>
              <w:szCs w:val="24"/>
              <w:lang w:val="en-US" w:eastAsia="zh-CN"/>
            </w:rPr>
            <w:t>4</w:t>
          </w:r>
        </w:p>
        <w:p>
          <w:pPr>
            <w:pStyle w:val="36"/>
            <w:tabs>
              <w:tab w:val="right" w:leader="dot" w:pos="8306"/>
            </w:tabs>
            <w:rPr>
              <w:rFonts w:hint="eastAsia" w:ascii="仿宋" w:hAnsi="仿宋" w:eastAsia="仿宋" w:cs="仿宋"/>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_Toc2757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一、收</w:t>
          </w:r>
          <w:r>
            <w:rPr>
              <w:rFonts w:hint="eastAsia" w:ascii="仿宋" w:hAnsi="仿宋" w:eastAsia="仿宋" w:cs="仿宋"/>
              <w:bCs w:val="0"/>
              <w:sz w:val="24"/>
              <w:szCs w:val="24"/>
              <w:highlight w:val="none"/>
            </w:rPr>
            <w:t>入支出决算总表</w:t>
          </w:r>
          <w:r>
            <w:rPr>
              <w:rFonts w:hint="eastAsia" w:ascii="仿宋" w:hAnsi="仿宋" w:eastAsia="仿宋" w:cs="仿宋"/>
              <w:sz w:val="24"/>
              <w:szCs w:val="24"/>
            </w:rPr>
            <w:tab/>
          </w:r>
          <w:r>
            <w:rPr>
              <w:rFonts w:hint="eastAsia" w:ascii="仿宋" w:hAnsi="仿宋" w:eastAsia="仿宋" w:cs="仿宋"/>
              <w:sz w:val="24"/>
              <w:szCs w:val="24"/>
              <w:lang w:val="en-US" w:eastAsia="zh-CN"/>
            </w:rPr>
            <w:t>3</w:t>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4</w:t>
          </w:r>
        </w:p>
        <w:p>
          <w:pPr>
            <w:pStyle w:val="36"/>
            <w:tabs>
              <w:tab w:val="right" w:leader="dot" w:pos="8306"/>
            </w:tabs>
            <w:rPr>
              <w:rFonts w:hint="eastAsia" w:ascii="仿宋" w:hAnsi="仿宋" w:eastAsia="仿宋" w:cs="仿宋"/>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_Toc29781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二、收</w:t>
          </w:r>
          <w:r>
            <w:rPr>
              <w:rFonts w:hint="eastAsia" w:ascii="仿宋" w:hAnsi="仿宋" w:eastAsia="仿宋" w:cs="仿宋"/>
              <w:bCs w:val="0"/>
              <w:sz w:val="24"/>
              <w:szCs w:val="24"/>
              <w:highlight w:val="none"/>
            </w:rPr>
            <w:t>入决算表</w:t>
          </w:r>
          <w:r>
            <w:rPr>
              <w:rFonts w:hint="eastAsia" w:ascii="仿宋" w:hAnsi="仿宋" w:eastAsia="仿宋" w:cs="仿宋"/>
              <w:sz w:val="24"/>
              <w:szCs w:val="24"/>
            </w:rPr>
            <w:tab/>
          </w:r>
          <w:r>
            <w:rPr>
              <w:rFonts w:hint="eastAsia" w:ascii="仿宋" w:hAnsi="仿宋" w:eastAsia="仿宋" w:cs="仿宋"/>
              <w:sz w:val="24"/>
              <w:szCs w:val="24"/>
              <w:lang w:val="en-US" w:eastAsia="zh-CN"/>
            </w:rPr>
            <w:t>3</w:t>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4</w:t>
          </w:r>
        </w:p>
        <w:p>
          <w:pPr>
            <w:pStyle w:val="36"/>
            <w:tabs>
              <w:tab w:val="right" w:leader="dot" w:pos="8306"/>
            </w:tabs>
            <w:rPr>
              <w:rFonts w:hint="eastAsia" w:ascii="仿宋" w:hAnsi="仿宋" w:eastAsia="仿宋" w:cs="仿宋"/>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_Toc32502 </w:instrText>
          </w:r>
          <w:r>
            <w:rPr>
              <w:rFonts w:hint="eastAsia" w:ascii="仿宋" w:hAnsi="仿宋" w:eastAsia="仿宋" w:cs="仿宋"/>
              <w:sz w:val="24"/>
              <w:szCs w:val="24"/>
            </w:rPr>
            <w:fldChar w:fldCharType="separate"/>
          </w:r>
          <w:r>
            <w:rPr>
              <w:rFonts w:hint="eastAsia" w:ascii="仿宋" w:hAnsi="仿宋" w:eastAsia="仿宋" w:cs="仿宋"/>
              <w:bCs w:val="0"/>
              <w:sz w:val="24"/>
              <w:szCs w:val="24"/>
              <w:highlight w:val="none"/>
            </w:rPr>
            <w:t>三、</w:t>
          </w:r>
          <w:r>
            <w:rPr>
              <w:rFonts w:hint="eastAsia" w:ascii="仿宋" w:hAnsi="仿宋" w:eastAsia="仿宋" w:cs="仿宋"/>
              <w:sz w:val="24"/>
              <w:szCs w:val="24"/>
              <w:highlight w:val="none"/>
            </w:rPr>
            <w:t>支</w:t>
          </w:r>
          <w:r>
            <w:rPr>
              <w:rFonts w:hint="eastAsia" w:ascii="仿宋" w:hAnsi="仿宋" w:eastAsia="仿宋" w:cs="仿宋"/>
              <w:bCs w:val="0"/>
              <w:sz w:val="24"/>
              <w:szCs w:val="24"/>
              <w:highlight w:val="none"/>
            </w:rPr>
            <w:t>出决算表</w:t>
          </w:r>
          <w:r>
            <w:rPr>
              <w:rFonts w:hint="eastAsia" w:ascii="仿宋" w:hAnsi="仿宋" w:eastAsia="仿宋" w:cs="仿宋"/>
              <w:sz w:val="24"/>
              <w:szCs w:val="24"/>
            </w:rPr>
            <w:tab/>
          </w:r>
          <w:r>
            <w:rPr>
              <w:rFonts w:hint="eastAsia" w:ascii="仿宋" w:hAnsi="仿宋" w:eastAsia="仿宋" w:cs="仿宋"/>
              <w:sz w:val="24"/>
              <w:szCs w:val="24"/>
              <w:lang w:val="en-US" w:eastAsia="zh-CN"/>
            </w:rPr>
            <w:t>3</w:t>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4</w:t>
          </w:r>
        </w:p>
        <w:p>
          <w:pPr>
            <w:pStyle w:val="36"/>
            <w:tabs>
              <w:tab w:val="right" w:leader="dot" w:pos="8306"/>
            </w:tabs>
            <w:rPr>
              <w:rFonts w:hint="eastAsia" w:ascii="仿宋" w:hAnsi="仿宋" w:eastAsia="仿宋" w:cs="仿宋"/>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_Toc2005 </w:instrText>
          </w:r>
          <w:r>
            <w:rPr>
              <w:rFonts w:hint="eastAsia" w:ascii="仿宋" w:hAnsi="仿宋" w:eastAsia="仿宋" w:cs="仿宋"/>
              <w:sz w:val="24"/>
              <w:szCs w:val="24"/>
            </w:rPr>
            <w:fldChar w:fldCharType="separate"/>
          </w:r>
          <w:r>
            <w:rPr>
              <w:rFonts w:hint="eastAsia" w:ascii="仿宋" w:hAnsi="仿宋" w:eastAsia="仿宋" w:cs="仿宋"/>
              <w:bCs w:val="0"/>
              <w:sz w:val="24"/>
              <w:szCs w:val="24"/>
              <w:highlight w:val="none"/>
            </w:rPr>
            <w:t>四、</w:t>
          </w:r>
          <w:r>
            <w:rPr>
              <w:rFonts w:hint="eastAsia" w:ascii="仿宋" w:hAnsi="仿宋" w:eastAsia="仿宋" w:cs="仿宋"/>
              <w:sz w:val="24"/>
              <w:szCs w:val="24"/>
              <w:highlight w:val="none"/>
            </w:rPr>
            <w:t>财</w:t>
          </w:r>
          <w:r>
            <w:rPr>
              <w:rFonts w:hint="eastAsia" w:ascii="仿宋" w:hAnsi="仿宋" w:eastAsia="仿宋" w:cs="仿宋"/>
              <w:bCs w:val="0"/>
              <w:sz w:val="24"/>
              <w:szCs w:val="24"/>
              <w:highlight w:val="none"/>
            </w:rPr>
            <w:t>政拨款收入支出决算总表</w:t>
          </w:r>
          <w:r>
            <w:rPr>
              <w:rFonts w:hint="eastAsia" w:ascii="仿宋" w:hAnsi="仿宋" w:eastAsia="仿宋" w:cs="仿宋"/>
              <w:sz w:val="24"/>
              <w:szCs w:val="24"/>
            </w:rPr>
            <w:tab/>
          </w:r>
          <w:r>
            <w:rPr>
              <w:rFonts w:hint="eastAsia" w:ascii="仿宋" w:hAnsi="仿宋" w:eastAsia="仿宋" w:cs="仿宋"/>
              <w:sz w:val="24"/>
              <w:szCs w:val="24"/>
              <w:lang w:val="en-US" w:eastAsia="zh-CN"/>
            </w:rPr>
            <w:t>3</w:t>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4</w:t>
          </w:r>
        </w:p>
        <w:p>
          <w:pPr>
            <w:pStyle w:val="36"/>
            <w:tabs>
              <w:tab w:val="right" w:leader="dot" w:pos="8306"/>
            </w:tabs>
            <w:rPr>
              <w:rFonts w:hint="eastAsia" w:ascii="仿宋" w:hAnsi="仿宋" w:eastAsia="仿宋" w:cs="仿宋"/>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_Toc14055 </w:instrText>
          </w:r>
          <w:r>
            <w:rPr>
              <w:rFonts w:hint="eastAsia" w:ascii="仿宋" w:hAnsi="仿宋" w:eastAsia="仿宋" w:cs="仿宋"/>
              <w:sz w:val="24"/>
              <w:szCs w:val="24"/>
            </w:rPr>
            <w:fldChar w:fldCharType="separate"/>
          </w:r>
          <w:r>
            <w:rPr>
              <w:rFonts w:hint="eastAsia" w:ascii="仿宋" w:hAnsi="仿宋" w:eastAsia="仿宋" w:cs="仿宋"/>
              <w:bCs w:val="0"/>
              <w:sz w:val="24"/>
              <w:szCs w:val="24"/>
              <w:highlight w:val="none"/>
            </w:rPr>
            <w:t>五、</w:t>
          </w:r>
          <w:r>
            <w:rPr>
              <w:rFonts w:hint="eastAsia" w:ascii="仿宋" w:hAnsi="仿宋" w:eastAsia="仿宋" w:cs="仿宋"/>
              <w:sz w:val="24"/>
              <w:szCs w:val="24"/>
              <w:highlight w:val="none"/>
            </w:rPr>
            <w:t>财</w:t>
          </w:r>
          <w:r>
            <w:rPr>
              <w:rFonts w:hint="eastAsia" w:ascii="仿宋" w:hAnsi="仿宋" w:eastAsia="仿宋" w:cs="仿宋"/>
              <w:bCs w:val="0"/>
              <w:sz w:val="24"/>
              <w:szCs w:val="24"/>
              <w:highlight w:val="none"/>
            </w:rPr>
            <w:t>政拨款支出决算明细表</w:t>
          </w:r>
          <w:r>
            <w:rPr>
              <w:rFonts w:hint="eastAsia" w:ascii="仿宋" w:hAnsi="仿宋" w:eastAsia="仿宋" w:cs="仿宋"/>
              <w:sz w:val="24"/>
              <w:szCs w:val="24"/>
            </w:rPr>
            <w:tab/>
          </w:r>
          <w:r>
            <w:rPr>
              <w:rFonts w:hint="eastAsia" w:ascii="仿宋" w:hAnsi="仿宋" w:eastAsia="仿宋" w:cs="仿宋"/>
              <w:sz w:val="24"/>
              <w:szCs w:val="24"/>
              <w:lang w:val="en-US" w:eastAsia="zh-CN"/>
            </w:rPr>
            <w:t>3</w:t>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4</w:t>
          </w:r>
        </w:p>
        <w:p>
          <w:pPr>
            <w:pStyle w:val="36"/>
            <w:tabs>
              <w:tab w:val="right" w:leader="dot" w:pos="8306"/>
            </w:tabs>
            <w:rPr>
              <w:rFonts w:hint="eastAsia" w:ascii="仿宋" w:hAnsi="仿宋" w:eastAsia="仿宋" w:cs="仿宋"/>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_Toc16595 </w:instrText>
          </w:r>
          <w:r>
            <w:rPr>
              <w:rFonts w:hint="eastAsia" w:ascii="仿宋" w:hAnsi="仿宋" w:eastAsia="仿宋" w:cs="仿宋"/>
              <w:sz w:val="24"/>
              <w:szCs w:val="24"/>
            </w:rPr>
            <w:fldChar w:fldCharType="separate"/>
          </w:r>
          <w:r>
            <w:rPr>
              <w:rFonts w:hint="eastAsia" w:ascii="仿宋" w:hAnsi="仿宋" w:eastAsia="仿宋" w:cs="仿宋"/>
              <w:bCs w:val="0"/>
              <w:sz w:val="24"/>
              <w:szCs w:val="24"/>
              <w:highlight w:val="none"/>
            </w:rPr>
            <w:t>六、</w:t>
          </w:r>
          <w:r>
            <w:rPr>
              <w:rFonts w:hint="eastAsia" w:ascii="仿宋" w:hAnsi="仿宋" w:eastAsia="仿宋" w:cs="仿宋"/>
              <w:sz w:val="24"/>
              <w:szCs w:val="24"/>
              <w:highlight w:val="none"/>
            </w:rPr>
            <w:t>一</w:t>
          </w:r>
          <w:r>
            <w:rPr>
              <w:rFonts w:hint="eastAsia" w:ascii="仿宋" w:hAnsi="仿宋" w:eastAsia="仿宋" w:cs="仿宋"/>
              <w:bCs w:val="0"/>
              <w:sz w:val="24"/>
              <w:szCs w:val="24"/>
              <w:highlight w:val="none"/>
            </w:rPr>
            <w:t>般公共预算财政拨款支出决算表</w:t>
          </w:r>
          <w:r>
            <w:rPr>
              <w:rFonts w:hint="eastAsia" w:ascii="仿宋" w:hAnsi="仿宋" w:eastAsia="仿宋" w:cs="仿宋"/>
              <w:sz w:val="24"/>
              <w:szCs w:val="24"/>
            </w:rPr>
            <w:tab/>
          </w:r>
          <w:r>
            <w:rPr>
              <w:rFonts w:hint="eastAsia" w:ascii="仿宋" w:hAnsi="仿宋" w:eastAsia="仿宋" w:cs="仿宋"/>
              <w:sz w:val="24"/>
              <w:szCs w:val="24"/>
              <w:lang w:val="en-US" w:eastAsia="zh-CN"/>
            </w:rPr>
            <w:t>3</w:t>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4</w:t>
          </w:r>
        </w:p>
        <w:p>
          <w:pPr>
            <w:pStyle w:val="36"/>
            <w:tabs>
              <w:tab w:val="right" w:leader="dot" w:pos="8306"/>
            </w:tabs>
            <w:rPr>
              <w:rFonts w:hint="eastAsia" w:ascii="仿宋" w:hAnsi="仿宋" w:eastAsia="仿宋" w:cs="仿宋"/>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_Toc16663 </w:instrText>
          </w:r>
          <w:r>
            <w:rPr>
              <w:rFonts w:hint="eastAsia" w:ascii="仿宋" w:hAnsi="仿宋" w:eastAsia="仿宋" w:cs="仿宋"/>
              <w:sz w:val="24"/>
              <w:szCs w:val="24"/>
            </w:rPr>
            <w:fldChar w:fldCharType="separate"/>
          </w:r>
          <w:r>
            <w:rPr>
              <w:rFonts w:hint="eastAsia" w:ascii="仿宋" w:hAnsi="仿宋" w:eastAsia="仿宋" w:cs="仿宋"/>
              <w:bCs w:val="0"/>
              <w:sz w:val="24"/>
              <w:szCs w:val="24"/>
              <w:highlight w:val="none"/>
            </w:rPr>
            <w:t>七、</w:t>
          </w:r>
          <w:r>
            <w:rPr>
              <w:rFonts w:hint="eastAsia" w:ascii="仿宋" w:hAnsi="仿宋" w:eastAsia="仿宋" w:cs="仿宋"/>
              <w:sz w:val="24"/>
              <w:szCs w:val="24"/>
              <w:highlight w:val="none"/>
            </w:rPr>
            <w:t>一</w:t>
          </w:r>
          <w:r>
            <w:rPr>
              <w:rFonts w:hint="eastAsia" w:ascii="仿宋" w:hAnsi="仿宋" w:eastAsia="仿宋" w:cs="仿宋"/>
              <w:bCs w:val="0"/>
              <w:sz w:val="24"/>
              <w:szCs w:val="24"/>
              <w:highlight w:val="none"/>
            </w:rPr>
            <w:t>般公共预算财政拨款支出决算明细表</w:t>
          </w:r>
          <w:r>
            <w:rPr>
              <w:rFonts w:hint="eastAsia" w:ascii="仿宋" w:hAnsi="仿宋" w:eastAsia="仿宋" w:cs="仿宋"/>
              <w:sz w:val="24"/>
              <w:szCs w:val="24"/>
            </w:rPr>
            <w:tab/>
          </w:r>
          <w:r>
            <w:rPr>
              <w:rFonts w:hint="eastAsia" w:ascii="仿宋" w:hAnsi="仿宋" w:eastAsia="仿宋" w:cs="仿宋"/>
              <w:sz w:val="24"/>
              <w:szCs w:val="24"/>
              <w:lang w:val="en-US" w:eastAsia="zh-CN"/>
            </w:rPr>
            <w:t>3</w:t>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4</w:t>
          </w:r>
        </w:p>
        <w:p>
          <w:pPr>
            <w:pStyle w:val="36"/>
            <w:tabs>
              <w:tab w:val="right" w:leader="dot" w:pos="8306"/>
            </w:tabs>
            <w:rPr>
              <w:rFonts w:hint="eastAsia" w:ascii="仿宋" w:hAnsi="仿宋" w:eastAsia="仿宋" w:cs="仿宋"/>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_Toc31712 </w:instrText>
          </w:r>
          <w:r>
            <w:rPr>
              <w:rFonts w:hint="eastAsia" w:ascii="仿宋" w:hAnsi="仿宋" w:eastAsia="仿宋" w:cs="仿宋"/>
              <w:sz w:val="24"/>
              <w:szCs w:val="24"/>
            </w:rPr>
            <w:fldChar w:fldCharType="separate"/>
          </w:r>
          <w:r>
            <w:rPr>
              <w:rFonts w:hint="eastAsia" w:ascii="仿宋" w:hAnsi="仿宋" w:eastAsia="仿宋" w:cs="仿宋"/>
              <w:bCs w:val="0"/>
              <w:sz w:val="24"/>
              <w:szCs w:val="24"/>
              <w:highlight w:val="none"/>
            </w:rPr>
            <w:t>八、</w:t>
          </w:r>
          <w:r>
            <w:rPr>
              <w:rFonts w:hint="eastAsia" w:ascii="仿宋" w:hAnsi="仿宋" w:eastAsia="仿宋" w:cs="仿宋"/>
              <w:sz w:val="24"/>
              <w:szCs w:val="24"/>
              <w:highlight w:val="none"/>
            </w:rPr>
            <w:t>一</w:t>
          </w:r>
          <w:r>
            <w:rPr>
              <w:rFonts w:hint="eastAsia" w:ascii="仿宋" w:hAnsi="仿宋" w:eastAsia="仿宋" w:cs="仿宋"/>
              <w:bCs w:val="0"/>
              <w:sz w:val="24"/>
              <w:szCs w:val="24"/>
              <w:highlight w:val="none"/>
            </w:rPr>
            <w:t>般公共预算财政拨款基本支出决算表</w:t>
          </w:r>
          <w:r>
            <w:rPr>
              <w:rFonts w:hint="eastAsia" w:ascii="仿宋" w:hAnsi="仿宋" w:eastAsia="仿宋" w:cs="仿宋"/>
              <w:sz w:val="24"/>
              <w:szCs w:val="24"/>
            </w:rPr>
            <w:tab/>
          </w:r>
          <w:r>
            <w:rPr>
              <w:rFonts w:hint="eastAsia" w:ascii="仿宋" w:hAnsi="仿宋" w:eastAsia="仿宋" w:cs="仿宋"/>
              <w:sz w:val="24"/>
              <w:szCs w:val="24"/>
              <w:lang w:val="en-US" w:eastAsia="zh-CN"/>
            </w:rPr>
            <w:t>3</w:t>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4</w:t>
          </w:r>
        </w:p>
        <w:p>
          <w:pPr>
            <w:pStyle w:val="36"/>
            <w:tabs>
              <w:tab w:val="right" w:leader="dot" w:pos="8306"/>
            </w:tabs>
            <w:rPr>
              <w:rFonts w:hint="eastAsia" w:ascii="仿宋" w:hAnsi="仿宋" w:eastAsia="仿宋" w:cs="仿宋"/>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_Toc6077 </w:instrText>
          </w:r>
          <w:r>
            <w:rPr>
              <w:rFonts w:hint="eastAsia" w:ascii="仿宋" w:hAnsi="仿宋" w:eastAsia="仿宋" w:cs="仿宋"/>
              <w:sz w:val="24"/>
              <w:szCs w:val="24"/>
            </w:rPr>
            <w:fldChar w:fldCharType="separate"/>
          </w:r>
          <w:r>
            <w:rPr>
              <w:rFonts w:hint="eastAsia" w:ascii="仿宋" w:hAnsi="仿宋" w:eastAsia="仿宋" w:cs="仿宋"/>
              <w:bCs w:val="0"/>
              <w:sz w:val="24"/>
              <w:szCs w:val="24"/>
              <w:highlight w:val="none"/>
            </w:rPr>
            <w:t>九、</w:t>
          </w:r>
          <w:r>
            <w:rPr>
              <w:rFonts w:hint="eastAsia" w:ascii="仿宋" w:hAnsi="仿宋" w:eastAsia="仿宋" w:cs="仿宋"/>
              <w:sz w:val="24"/>
              <w:szCs w:val="24"/>
              <w:highlight w:val="none"/>
            </w:rPr>
            <w:t>一</w:t>
          </w:r>
          <w:r>
            <w:rPr>
              <w:rFonts w:hint="eastAsia" w:ascii="仿宋" w:hAnsi="仿宋" w:eastAsia="仿宋" w:cs="仿宋"/>
              <w:bCs w:val="0"/>
              <w:sz w:val="24"/>
              <w:szCs w:val="24"/>
              <w:highlight w:val="none"/>
            </w:rPr>
            <w:t>般公共预算财政拨款项目支出决算表</w:t>
          </w:r>
          <w:r>
            <w:rPr>
              <w:rFonts w:hint="eastAsia" w:ascii="仿宋" w:hAnsi="仿宋" w:eastAsia="仿宋" w:cs="仿宋"/>
              <w:sz w:val="24"/>
              <w:szCs w:val="24"/>
            </w:rPr>
            <w:tab/>
          </w:r>
          <w:r>
            <w:rPr>
              <w:rFonts w:hint="eastAsia" w:ascii="仿宋" w:hAnsi="仿宋" w:eastAsia="仿宋" w:cs="仿宋"/>
              <w:sz w:val="24"/>
              <w:szCs w:val="24"/>
              <w:lang w:val="en-US" w:eastAsia="zh-CN"/>
            </w:rPr>
            <w:t>3</w:t>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4</w:t>
          </w:r>
        </w:p>
        <w:p>
          <w:pPr>
            <w:pStyle w:val="36"/>
            <w:tabs>
              <w:tab w:val="right" w:leader="dot" w:pos="8306"/>
            </w:tabs>
            <w:rPr>
              <w:rFonts w:hint="eastAsia" w:ascii="仿宋" w:hAnsi="仿宋" w:eastAsia="仿宋" w:cs="仿宋"/>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_Toc8880 </w:instrText>
          </w:r>
          <w:r>
            <w:rPr>
              <w:rFonts w:hint="eastAsia" w:ascii="仿宋" w:hAnsi="仿宋" w:eastAsia="仿宋" w:cs="仿宋"/>
              <w:sz w:val="24"/>
              <w:szCs w:val="24"/>
            </w:rPr>
            <w:fldChar w:fldCharType="separate"/>
          </w:r>
          <w:r>
            <w:rPr>
              <w:rFonts w:hint="eastAsia" w:ascii="仿宋" w:hAnsi="仿宋" w:eastAsia="仿宋" w:cs="仿宋"/>
              <w:bCs w:val="0"/>
              <w:sz w:val="24"/>
              <w:szCs w:val="24"/>
              <w:highlight w:val="none"/>
            </w:rPr>
            <w:t>十、</w:t>
          </w:r>
          <w:r>
            <w:rPr>
              <w:rFonts w:hint="eastAsia" w:ascii="仿宋" w:hAnsi="仿宋" w:eastAsia="仿宋" w:cs="仿宋"/>
              <w:sz w:val="24"/>
              <w:szCs w:val="24"/>
              <w:highlight w:val="none"/>
            </w:rPr>
            <w:t>政</w:t>
          </w:r>
          <w:r>
            <w:rPr>
              <w:rFonts w:hint="eastAsia" w:ascii="仿宋" w:hAnsi="仿宋" w:eastAsia="仿宋" w:cs="仿宋"/>
              <w:bCs w:val="0"/>
              <w:sz w:val="24"/>
              <w:szCs w:val="24"/>
              <w:highlight w:val="none"/>
            </w:rPr>
            <w:t>府性基金预算财政拨款收入支出决算表</w:t>
          </w:r>
          <w:r>
            <w:rPr>
              <w:rFonts w:hint="eastAsia" w:ascii="仿宋" w:hAnsi="仿宋" w:eastAsia="仿宋" w:cs="仿宋"/>
              <w:sz w:val="24"/>
              <w:szCs w:val="24"/>
            </w:rPr>
            <w:tab/>
          </w:r>
          <w:r>
            <w:rPr>
              <w:rFonts w:hint="eastAsia" w:ascii="仿宋" w:hAnsi="仿宋" w:eastAsia="仿宋" w:cs="仿宋"/>
              <w:sz w:val="24"/>
              <w:szCs w:val="24"/>
              <w:lang w:val="en-US" w:eastAsia="zh-CN"/>
            </w:rPr>
            <w:t>3</w:t>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4</w:t>
          </w:r>
        </w:p>
        <w:p>
          <w:pPr>
            <w:pStyle w:val="36"/>
            <w:tabs>
              <w:tab w:val="right" w:leader="dot" w:pos="8306"/>
            </w:tabs>
            <w:rPr>
              <w:rFonts w:hint="eastAsia" w:ascii="仿宋" w:hAnsi="仿宋" w:eastAsia="仿宋" w:cs="仿宋"/>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_Toc23717 </w:instrText>
          </w:r>
          <w:r>
            <w:rPr>
              <w:rFonts w:hint="eastAsia" w:ascii="仿宋" w:hAnsi="仿宋" w:eastAsia="仿宋" w:cs="仿宋"/>
              <w:sz w:val="24"/>
              <w:szCs w:val="24"/>
            </w:rPr>
            <w:fldChar w:fldCharType="separate"/>
          </w:r>
          <w:r>
            <w:rPr>
              <w:rFonts w:hint="eastAsia" w:ascii="仿宋" w:hAnsi="仿宋" w:eastAsia="仿宋" w:cs="仿宋"/>
              <w:bCs w:val="0"/>
              <w:sz w:val="24"/>
              <w:szCs w:val="24"/>
              <w:highlight w:val="none"/>
            </w:rPr>
            <w:t>十一、</w:t>
          </w:r>
          <w:r>
            <w:rPr>
              <w:rFonts w:hint="eastAsia" w:ascii="仿宋" w:hAnsi="仿宋" w:eastAsia="仿宋" w:cs="仿宋"/>
              <w:sz w:val="24"/>
              <w:szCs w:val="24"/>
              <w:highlight w:val="none"/>
            </w:rPr>
            <w:t>国</w:t>
          </w:r>
          <w:r>
            <w:rPr>
              <w:rFonts w:hint="eastAsia" w:ascii="仿宋" w:hAnsi="仿宋" w:eastAsia="仿宋" w:cs="仿宋"/>
              <w:bCs w:val="0"/>
              <w:sz w:val="24"/>
              <w:szCs w:val="24"/>
              <w:highlight w:val="none"/>
            </w:rPr>
            <w:t>有资本经营预算</w:t>
          </w:r>
          <w:r>
            <w:rPr>
              <w:rFonts w:hint="eastAsia" w:ascii="仿宋" w:hAnsi="仿宋" w:eastAsia="仿宋" w:cs="仿宋"/>
              <w:bCs w:val="0"/>
              <w:sz w:val="24"/>
              <w:szCs w:val="24"/>
              <w:highlight w:val="none"/>
              <w:lang w:eastAsia="zh-CN"/>
            </w:rPr>
            <w:t>财政拨款收入</w:t>
          </w:r>
          <w:r>
            <w:rPr>
              <w:rFonts w:hint="eastAsia" w:ascii="仿宋" w:hAnsi="仿宋" w:eastAsia="仿宋" w:cs="仿宋"/>
              <w:bCs w:val="0"/>
              <w:sz w:val="24"/>
              <w:szCs w:val="24"/>
              <w:highlight w:val="none"/>
            </w:rPr>
            <w:t>支出决算表</w:t>
          </w:r>
          <w:r>
            <w:rPr>
              <w:rFonts w:hint="eastAsia" w:ascii="仿宋" w:hAnsi="仿宋" w:eastAsia="仿宋" w:cs="仿宋"/>
              <w:sz w:val="24"/>
              <w:szCs w:val="24"/>
            </w:rPr>
            <w:tab/>
          </w:r>
          <w:r>
            <w:rPr>
              <w:rFonts w:hint="eastAsia" w:ascii="仿宋" w:hAnsi="仿宋" w:eastAsia="仿宋" w:cs="仿宋"/>
              <w:sz w:val="24"/>
              <w:szCs w:val="24"/>
              <w:lang w:val="en-US" w:eastAsia="zh-CN"/>
            </w:rPr>
            <w:t>3</w:t>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4</w:t>
          </w:r>
        </w:p>
        <w:p>
          <w:pPr>
            <w:pStyle w:val="36"/>
            <w:tabs>
              <w:tab w:val="right" w:leader="dot" w:pos="8306"/>
            </w:tabs>
            <w:rPr>
              <w:rFonts w:hint="eastAsia" w:ascii="仿宋" w:hAnsi="仿宋" w:eastAsia="仿宋" w:cs="仿宋"/>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_Toc31497 </w:instrText>
          </w:r>
          <w:r>
            <w:rPr>
              <w:rFonts w:hint="eastAsia" w:ascii="仿宋" w:hAnsi="仿宋" w:eastAsia="仿宋" w:cs="仿宋"/>
              <w:sz w:val="24"/>
              <w:szCs w:val="24"/>
            </w:rPr>
            <w:fldChar w:fldCharType="separate"/>
          </w:r>
          <w:r>
            <w:rPr>
              <w:rFonts w:hint="eastAsia" w:ascii="仿宋" w:hAnsi="仿宋" w:eastAsia="仿宋" w:cs="仿宋"/>
              <w:bCs w:val="0"/>
              <w:sz w:val="24"/>
              <w:szCs w:val="24"/>
              <w:highlight w:val="none"/>
            </w:rPr>
            <w:t>十二、</w:t>
          </w:r>
          <w:r>
            <w:rPr>
              <w:rFonts w:hint="eastAsia" w:ascii="仿宋" w:hAnsi="仿宋" w:eastAsia="仿宋" w:cs="仿宋"/>
              <w:bCs w:val="0"/>
              <w:sz w:val="24"/>
              <w:szCs w:val="24"/>
              <w:highlight w:val="none"/>
              <w:lang w:eastAsia="zh-CN"/>
            </w:rPr>
            <w:t>国有资本经营预算财政拨款支出决算表</w:t>
          </w:r>
          <w:r>
            <w:rPr>
              <w:rFonts w:hint="eastAsia" w:ascii="仿宋" w:hAnsi="仿宋" w:eastAsia="仿宋" w:cs="仿宋"/>
              <w:sz w:val="24"/>
              <w:szCs w:val="24"/>
            </w:rPr>
            <w:tab/>
          </w:r>
          <w:r>
            <w:rPr>
              <w:rFonts w:hint="eastAsia" w:ascii="仿宋" w:hAnsi="仿宋" w:eastAsia="仿宋" w:cs="仿宋"/>
              <w:sz w:val="24"/>
              <w:szCs w:val="24"/>
              <w:lang w:val="en-US" w:eastAsia="zh-CN"/>
            </w:rPr>
            <w:t>3</w:t>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4</w:t>
          </w:r>
        </w:p>
        <w:p>
          <w:pPr>
            <w:pStyle w:val="36"/>
            <w:tabs>
              <w:tab w:val="right" w:leader="dot" w:pos="8306"/>
            </w:tabs>
            <w:rPr>
              <w:rFonts w:hint="eastAsia" w:ascii="仿宋" w:hAnsi="仿宋" w:eastAsia="仿宋" w:cs="仿宋"/>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_Toc25862 </w:instrText>
          </w:r>
          <w:r>
            <w:rPr>
              <w:rFonts w:hint="eastAsia" w:ascii="仿宋" w:hAnsi="仿宋" w:eastAsia="仿宋" w:cs="仿宋"/>
              <w:sz w:val="24"/>
              <w:szCs w:val="24"/>
            </w:rPr>
            <w:fldChar w:fldCharType="separate"/>
          </w:r>
          <w:r>
            <w:rPr>
              <w:rFonts w:hint="eastAsia" w:ascii="仿宋" w:hAnsi="仿宋" w:eastAsia="仿宋" w:cs="仿宋"/>
              <w:bCs w:val="0"/>
              <w:sz w:val="24"/>
              <w:szCs w:val="24"/>
              <w:highlight w:val="none"/>
            </w:rPr>
            <w:t>十三、</w:t>
          </w:r>
          <w:r>
            <w:rPr>
              <w:rFonts w:hint="eastAsia" w:ascii="仿宋" w:hAnsi="仿宋" w:eastAsia="仿宋" w:cs="仿宋"/>
              <w:bCs w:val="0"/>
              <w:sz w:val="24"/>
              <w:szCs w:val="24"/>
              <w:highlight w:val="none"/>
              <w:lang w:eastAsia="zh-CN"/>
            </w:rPr>
            <w:t>财政拨款“三公”经费支出决算表</w:t>
          </w:r>
          <w:r>
            <w:rPr>
              <w:rFonts w:hint="eastAsia" w:ascii="仿宋" w:hAnsi="仿宋" w:eastAsia="仿宋" w:cs="仿宋"/>
              <w:sz w:val="24"/>
              <w:szCs w:val="24"/>
            </w:rPr>
            <w:tab/>
          </w:r>
          <w:r>
            <w:rPr>
              <w:rFonts w:hint="eastAsia" w:ascii="仿宋" w:hAnsi="仿宋" w:eastAsia="仿宋" w:cs="仿宋"/>
              <w:sz w:val="24"/>
              <w:szCs w:val="24"/>
              <w:lang w:val="en-US" w:eastAsia="zh-CN"/>
            </w:rPr>
            <w:t>3</w:t>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4</w:t>
          </w:r>
        </w:p>
        <w:p>
          <w:r>
            <w:rPr>
              <w:b/>
              <w:sz w:val="24"/>
              <w:szCs w:val="24"/>
            </w:rPr>
            <w:fldChar w:fldCharType="end"/>
          </w:r>
        </w:p>
      </w:sdtContent>
    </w:sdt>
    <w:p>
      <w:pPr>
        <w:pStyle w:val="4"/>
        <w:jc w:val="center"/>
        <w:rPr>
          <w:rFonts w:hint="eastAsia" w:ascii="黑体" w:hAnsi="黑体" w:eastAsia="黑体"/>
          <w:b w:val="0"/>
          <w:color w:val="auto"/>
          <w:highlight w:val="none"/>
        </w:rPr>
        <w:sectPr>
          <w:footerReference r:id="rId6" w:type="first"/>
          <w:footerReference r:id="rId5" w:type="default"/>
          <w:pgSz w:w="11906" w:h="16838"/>
          <w:pgMar w:top="1984" w:right="1474" w:bottom="1871" w:left="1587" w:header="851" w:footer="992" w:gutter="0"/>
          <w:pgNumType w:start="1"/>
          <w:cols w:space="425" w:num="1"/>
          <w:titlePg/>
          <w:docGrid w:type="lines" w:linePitch="312" w:charSpace="0"/>
        </w:sectPr>
      </w:pPr>
      <w:bookmarkStart w:id="16" w:name="_Toc18520"/>
    </w:p>
    <w:p>
      <w:pPr>
        <w:pStyle w:val="4"/>
        <w:jc w:val="center"/>
        <w:rPr>
          <w:rFonts w:ascii="黑体" w:eastAsia="黑体"/>
          <w:color w:val="auto"/>
          <w:sz w:val="32"/>
          <w:szCs w:val="32"/>
          <w:highlight w:val="none"/>
        </w:rPr>
      </w:pPr>
      <w:r>
        <w:rPr>
          <w:rFonts w:hint="eastAsia" w:ascii="黑体" w:hAnsi="黑体" w:eastAsia="黑体"/>
          <w:b w:val="0"/>
          <w:color w:val="auto"/>
          <w:highlight w:val="none"/>
        </w:rPr>
        <w:t xml:space="preserve">第一部分 </w:t>
      </w:r>
      <w:r>
        <w:rPr>
          <w:rStyle w:val="28"/>
          <w:rFonts w:hint="eastAsia" w:ascii="黑体" w:hAnsi="黑体" w:eastAsia="黑体"/>
          <w:b w:val="0"/>
          <w:bCs w:val="0"/>
          <w:color w:val="auto"/>
          <w:highlight w:val="none"/>
        </w:rPr>
        <w:t>部门概况</w:t>
      </w:r>
      <w:bookmarkEnd w:id="14"/>
      <w:bookmarkEnd w:id="15"/>
      <w:bookmarkEnd w:id="16"/>
    </w:p>
    <w:p>
      <w:pPr>
        <w:pStyle w:val="5"/>
        <w:rPr>
          <w:rFonts w:hint="eastAsia" w:ascii="黑体" w:hAnsi="黑体" w:eastAsia="黑体"/>
          <w:b w:val="0"/>
          <w:color w:val="auto"/>
          <w:highlight w:val="none"/>
          <w:lang w:eastAsia="zh-CN"/>
        </w:rPr>
      </w:pPr>
      <w:bookmarkStart w:id="17" w:name="_Toc15377197"/>
      <w:bookmarkStart w:id="18" w:name="_Toc15396600"/>
      <w:bookmarkStart w:id="19" w:name="_Toc7397"/>
      <w:r>
        <w:rPr>
          <w:rFonts w:hint="eastAsia" w:ascii="黑体" w:hAnsi="黑体" w:eastAsia="黑体"/>
          <w:b w:val="0"/>
          <w:color w:val="auto"/>
          <w:highlight w:val="none"/>
        </w:rPr>
        <w:t>一、</w:t>
      </w:r>
      <w:bookmarkEnd w:id="17"/>
      <w:bookmarkEnd w:id="18"/>
      <w:r>
        <w:rPr>
          <w:rFonts w:hint="eastAsia" w:ascii="黑体" w:hAnsi="黑体" w:eastAsia="黑体"/>
          <w:b w:val="0"/>
          <w:color w:val="auto"/>
          <w:highlight w:val="none"/>
          <w:lang w:eastAsia="zh-CN"/>
        </w:rPr>
        <w:t>部门职责</w:t>
      </w:r>
      <w:bookmarkEnd w:id="19"/>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aps w:val="0"/>
          <w:color w:val="333333"/>
          <w:spacing w:val="0"/>
          <w:kern w:val="2"/>
          <w:sz w:val="32"/>
          <w:szCs w:val="32"/>
          <w:shd w:val="clear" w:color="auto" w:fill="FFFFFF"/>
          <w:lang w:val="en-US" w:eastAsia="zh-CN" w:bidi="ar-SA"/>
        </w:rPr>
      </w:pPr>
      <w:r>
        <w:rPr>
          <w:rFonts w:hint="default" w:ascii="Times New Roman" w:hAnsi="Times New Roman" w:eastAsia="仿宋_GB2312" w:cs="Times New Roman"/>
          <w:i w:val="0"/>
          <w:iCs w:val="0"/>
          <w:caps w:val="0"/>
          <w:color w:val="333333"/>
          <w:spacing w:val="0"/>
          <w:kern w:val="2"/>
          <w:sz w:val="32"/>
          <w:szCs w:val="32"/>
          <w:shd w:val="clear" w:color="auto" w:fill="FFFFFF"/>
          <w:lang w:val="en-US" w:eastAsia="zh-CN" w:bidi="ar-SA"/>
        </w:rPr>
        <w:t xml:space="preserve">1.贯彻执行中央、省、市有关“放管服”改革、行政审批制度改革、政务服务、便民服务、公共资源交易服务、行政权力依法规范公开运行和大数据应用、管理等方面的方针政策、法律法规和决策部署，拟订相关政策措施、发展规划并组织实施。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aps w:val="0"/>
          <w:color w:val="333333"/>
          <w:spacing w:val="0"/>
          <w:kern w:val="2"/>
          <w:sz w:val="32"/>
          <w:szCs w:val="32"/>
          <w:shd w:val="clear" w:color="auto" w:fill="FFFFFF"/>
          <w:lang w:val="en-US" w:eastAsia="zh-CN" w:bidi="ar-SA"/>
        </w:rPr>
      </w:pPr>
      <w:r>
        <w:rPr>
          <w:rFonts w:hint="default" w:ascii="Times New Roman" w:hAnsi="Times New Roman" w:eastAsia="仿宋_GB2312" w:cs="Times New Roman"/>
          <w:i w:val="0"/>
          <w:iCs w:val="0"/>
          <w:caps w:val="0"/>
          <w:color w:val="333333"/>
          <w:spacing w:val="0"/>
          <w:kern w:val="2"/>
          <w:sz w:val="32"/>
          <w:szCs w:val="32"/>
          <w:shd w:val="clear" w:color="auto" w:fill="FFFFFF"/>
          <w:lang w:val="en-US" w:eastAsia="zh-CN" w:bidi="ar-SA"/>
        </w:rPr>
        <w:t xml:space="preserve">2.负责承担行政权力及责任清单制度建设、行政审批制度改革、相对集中行政许可权改革等工作，推进全市行政权力依法规范公开运行，清理、审核、动态调整市级行政权力事项。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aps w:val="0"/>
          <w:color w:val="333333"/>
          <w:spacing w:val="0"/>
          <w:kern w:val="2"/>
          <w:sz w:val="32"/>
          <w:szCs w:val="32"/>
          <w:shd w:val="clear" w:color="auto" w:fill="FFFFFF"/>
          <w:lang w:val="en-US" w:eastAsia="zh-CN" w:bidi="ar-SA"/>
        </w:rPr>
      </w:pPr>
      <w:r>
        <w:rPr>
          <w:rFonts w:hint="default" w:ascii="Times New Roman" w:hAnsi="Times New Roman" w:eastAsia="仿宋_GB2312" w:cs="Times New Roman"/>
          <w:i w:val="0"/>
          <w:iCs w:val="0"/>
          <w:caps w:val="0"/>
          <w:color w:val="333333"/>
          <w:spacing w:val="0"/>
          <w:kern w:val="2"/>
          <w:sz w:val="32"/>
          <w:szCs w:val="32"/>
          <w:shd w:val="clear" w:color="auto" w:fill="FFFFFF"/>
          <w:lang w:val="en-US" w:eastAsia="zh-CN" w:bidi="ar-SA"/>
        </w:rPr>
        <w:t xml:space="preserve">3.指导、监督全市政务服务、便民服务、公共资源交易服务工作和行政权力事项的清理、运行工作以及行政审批业务工作，监督行政效能及其投诉、举报办理情况。推进政务服务“三集中三到位”和政务服务体系建设。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aps w:val="0"/>
          <w:color w:val="333333"/>
          <w:spacing w:val="0"/>
          <w:kern w:val="2"/>
          <w:sz w:val="32"/>
          <w:szCs w:val="32"/>
          <w:shd w:val="clear" w:color="auto" w:fill="FFFFFF"/>
          <w:lang w:val="en-US" w:eastAsia="zh-CN" w:bidi="ar-SA"/>
        </w:rPr>
      </w:pPr>
      <w:r>
        <w:rPr>
          <w:rFonts w:hint="default" w:ascii="Times New Roman" w:hAnsi="Times New Roman" w:eastAsia="仿宋_GB2312" w:cs="Times New Roman"/>
          <w:i w:val="0"/>
          <w:iCs w:val="0"/>
          <w:caps w:val="0"/>
          <w:color w:val="333333"/>
          <w:spacing w:val="0"/>
          <w:kern w:val="2"/>
          <w:sz w:val="32"/>
          <w:szCs w:val="32"/>
          <w:shd w:val="clear" w:color="auto" w:fill="FFFFFF"/>
          <w:lang w:val="en-US" w:eastAsia="zh-CN" w:bidi="ar-SA"/>
        </w:rPr>
        <w:t xml:space="preserve">4.负责政务服务、便民服务、公共资源交易服务、行政权力依法规范公开运行、行政效能、大数据相关平台的建设及应用。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aps w:val="0"/>
          <w:color w:val="333333"/>
          <w:spacing w:val="0"/>
          <w:kern w:val="2"/>
          <w:sz w:val="32"/>
          <w:szCs w:val="32"/>
          <w:shd w:val="clear" w:color="auto" w:fill="FFFFFF"/>
          <w:lang w:val="en-US" w:eastAsia="zh-CN" w:bidi="ar-SA"/>
        </w:rPr>
      </w:pPr>
      <w:r>
        <w:rPr>
          <w:rFonts w:hint="default" w:ascii="Times New Roman" w:hAnsi="Times New Roman" w:eastAsia="仿宋_GB2312" w:cs="Times New Roman"/>
          <w:i w:val="0"/>
          <w:iCs w:val="0"/>
          <w:caps w:val="0"/>
          <w:color w:val="333333"/>
          <w:spacing w:val="0"/>
          <w:kern w:val="2"/>
          <w:sz w:val="32"/>
          <w:szCs w:val="32"/>
          <w:shd w:val="clear" w:color="auto" w:fill="FFFFFF"/>
          <w:lang w:val="en-US" w:eastAsia="zh-CN" w:bidi="ar-SA"/>
        </w:rPr>
        <w:t xml:space="preserve">5.负责政府投资的大数据项目的审核、监督和验收，推进政府数据采集汇聚、登记管理、共享开放，推进社会数据汇聚融合、互联互通和大数据政用、民用、商用。监督管理大数据安全体系建设和安全保障工作。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aps w:val="0"/>
          <w:color w:val="333333"/>
          <w:spacing w:val="0"/>
          <w:kern w:val="2"/>
          <w:sz w:val="32"/>
          <w:szCs w:val="32"/>
          <w:shd w:val="clear" w:color="auto" w:fill="FFFFFF"/>
          <w:lang w:val="en-US" w:eastAsia="zh-CN" w:bidi="ar-SA"/>
        </w:rPr>
      </w:pPr>
      <w:r>
        <w:rPr>
          <w:rFonts w:hint="default" w:ascii="Times New Roman" w:hAnsi="Times New Roman" w:eastAsia="仿宋_GB2312" w:cs="Times New Roman"/>
          <w:i w:val="0"/>
          <w:iCs w:val="0"/>
          <w:caps w:val="0"/>
          <w:color w:val="333333"/>
          <w:spacing w:val="0"/>
          <w:kern w:val="2"/>
          <w:sz w:val="32"/>
          <w:szCs w:val="32"/>
          <w:shd w:val="clear" w:color="auto" w:fill="FFFFFF"/>
          <w:lang w:val="en-US" w:eastAsia="zh-CN" w:bidi="ar-SA"/>
        </w:rPr>
        <w:t xml:space="preserve">6.负责全市“放管服”改革、行政审批制度改革、政务服务、便民服务、公共资源交易服务、行政权力依法规范公开运行和大数据应用、管理的教育培训和人才队伍建设。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aps w:val="0"/>
          <w:color w:val="333333"/>
          <w:spacing w:val="0"/>
          <w:kern w:val="2"/>
          <w:sz w:val="32"/>
          <w:szCs w:val="32"/>
          <w:shd w:val="clear" w:color="auto" w:fill="FFFFFF"/>
          <w:lang w:val="en-US" w:eastAsia="zh-CN" w:bidi="ar-SA"/>
        </w:rPr>
      </w:pPr>
      <w:r>
        <w:rPr>
          <w:rFonts w:hint="default" w:ascii="Times New Roman" w:hAnsi="Times New Roman" w:eastAsia="仿宋_GB2312" w:cs="Times New Roman"/>
          <w:i w:val="0"/>
          <w:iCs w:val="0"/>
          <w:caps w:val="0"/>
          <w:color w:val="333333"/>
          <w:spacing w:val="0"/>
          <w:kern w:val="2"/>
          <w:sz w:val="32"/>
          <w:szCs w:val="32"/>
          <w:shd w:val="clear" w:color="auto" w:fill="FFFFFF"/>
          <w:lang w:val="en-US" w:eastAsia="zh-CN" w:bidi="ar-SA"/>
        </w:rPr>
        <w:t xml:space="preserve">7.承担市政府推进职能转变协调小组、市深化行政审批制度改革领导小组、市互联网+暨智慧巴中建设工作领导小组、市公共资源交易管理委员会的日常工作。 </w:t>
      </w:r>
    </w:p>
    <w:p>
      <w:pPr>
        <w:pStyle w:val="9"/>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lang w:eastAsia="zh-CN"/>
        </w:rPr>
      </w:pPr>
      <w:r>
        <w:rPr>
          <w:rFonts w:hint="default" w:ascii="Times New Roman" w:hAnsi="Times New Roman" w:eastAsia="仿宋_GB2312" w:cs="Times New Roman"/>
          <w:i w:val="0"/>
          <w:iCs w:val="0"/>
          <w:caps w:val="0"/>
          <w:color w:val="333333"/>
          <w:spacing w:val="0"/>
          <w:kern w:val="2"/>
          <w:sz w:val="32"/>
          <w:szCs w:val="32"/>
          <w:shd w:val="clear" w:color="auto" w:fill="FFFFFF"/>
          <w:lang w:val="en-US" w:eastAsia="zh-CN" w:bidi="ar-SA"/>
        </w:rPr>
        <w:t>8.完成市委、市政府交办的其他任务。</w:t>
      </w:r>
    </w:p>
    <w:p>
      <w:pPr>
        <w:pStyle w:val="5"/>
        <w:rPr>
          <w:rStyle w:val="29"/>
          <w:b w:val="0"/>
          <w:bCs w:val="0"/>
          <w:color w:val="auto"/>
          <w:highlight w:val="none"/>
        </w:rPr>
      </w:pPr>
      <w:bookmarkStart w:id="20" w:name="_Toc15396601"/>
      <w:bookmarkStart w:id="21" w:name="_Toc15377200"/>
      <w:bookmarkStart w:id="22" w:name="_Toc30462"/>
      <w:r>
        <w:rPr>
          <w:rFonts w:hint="eastAsia" w:ascii="黑体" w:eastAsia="黑体"/>
          <w:b w:val="0"/>
          <w:color w:val="auto"/>
          <w:highlight w:val="none"/>
        </w:rPr>
        <w:t>二、</w:t>
      </w:r>
      <w:r>
        <w:rPr>
          <w:rFonts w:hint="eastAsia" w:ascii="黑体" w:hAnsi="黑体" w:eastAsia="黑体"/>
          <w:b w:val="0"/>
          <w:color w:val="auto"/>
          <w:highlight w:val="none"/>
        </w:rPr>
        <w:t>机</w:t>
      </w:r>
      <w:r>
        <w:rPr>
          <w:rStyle w:val="29"/>
          <w:rFonts w:hint="eastAsia" w:ascii="黑体" w:hAnsi="黑体" w:eastAsia="黑体"/>
          <w:b w:val="0"/>
          <w:bCs w:val="0"/>
          <w:color w:val="auto"/>
          <w:highlight w:val="none"/>
        </w:rPr>
        <w:t>构设置</w:t>
      </w:r>
      <w:bookmarkEnd w:id="20"/>
      <w:bookmarkEnd w:id="21"/>
      <w:bookmarkEnd w:id="22"/>
    </w:p>
    <w:p>
      <w:pPr>
        <w:pStyle w:val="2"/>
        <w:adjustRightInd w:val="0"/>
        <w:snapToGrid w:val="0"/>
        <w:spacing w:before="93"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val="en-US" w:eastAsia="zh-CN"/>
        </w:rPr>
        <w:t>巴中市政务服务和大数据管理局</w:t>
      </w:r>
      <w:r>
        <w:rPr>
          <w:rFonts w:hint="eastAsia" w:ascii="仿宋" w:hAnsi="仿宋" w:eastAsia="仿宋"/>
          <w:color w:val="auto"/>
          <w:sz w:val="32"/>
          <w:szCs w:val="32"/>
          <w:highlight w:val="none"/>
        </w:rPr>
        <w:t>下属二级</w:t>
      </w:r>
      <w:r>
        <w:rPr>
          <w:rFonts w:hint="eastAsia" w:ascii="仿宋" w:hAnsi="仿宋" w:eastAsia="仿宋"/>
          <w:color w:val="auto"/>
          <w:sz w:val="32"/>
          <w:szCs w:val="32"/>
          <w:highlight w:val="none"/>
          <w:lang w:eastAsia="zh-CN"/>
        </w:rPr>
        <w:t>预算</w:t>
      </w:r>
      <w:r>
        <w:rPr>
          <w:rFonts w:hint="eastAsia" w:ascii="仿宋" w:hAnsi="仿宋" w:eastAsia="仿宋"/>
          <w:color w:val="auto"/>
          <w:sz w:val="32"/>
          <w:szCs w:val="32"/>
          <w:highlight w:val="none"/>
        </w:rPr>
        <w:t>单位</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个，其中行政单位</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个，参照公务员法管理的事业单位</w:t>
      </w:r>
      <w:r>
        <w:rPr>
          <w:rFonts w:hint="eastAsia" w:ascii="仿宋" w:hAnsi="仿宋" w:eastAsia="仿宋"/>
          <w:bCs/>
          <w:color w:val="auto"/>
          <w:sz w:val="32"/>
          <w:szCs w:val="32"/>
          <w:highlight w:val="none"/>
          <w:lang w:val="en-US" w:eastAsia="zh-CN"/>
        </w:rPr>
        <w:t>0</w:t>
      </w:r>
      <w:r>
        <w:rPr>
          <w:rFonts w:hint="eastAsia" w:ascii="仿宋" w:hAnsi="仿宋" w:eastAsia="仿宋"/>
          <w:color w:val="auto"/>
          <w:sz w:val="32"/>
          <w:szCs w:val="32"/>
          <w:highlight w:val="none"/>
        </w:rPr>
        <w:t>个，其他事业单位</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个。</w:t>
      </w:r>
      <w:r>
        <w:rPr>
          <w:rFonts w:hint="eastAsia" w:ascii="仿宋" w:hAnsi="仿宋" w:eastAsia="仿宋"/>
          <w:color w:val="auto"/>
          <w:sz w:val="32"/>
          <w:szCs w:val="32"/>
          <w:highlight w:val="none"/>
          <w:lang w:val="en-US" w:eastAsia="zh-CN"/>
        </w:rPr>
        <w:t>无</w:t>
      </w:r>
      <w:r>
        <w:rPr>
          <w:rFonts w:hint="eastAsia" w:ascii="仿宋" w:hAnsi="仿宋" w:eastAsia="仿宋"/>
          <w:color w:val="auto"/>
          <w:sz w:val="32"/>
          <w:szCs w:val="32"/>
          <w:highlight w:val="none"/>
        </w:rPr>
        <w:t>纳入</w:t>
      </w:r>
      <w:r>
        <w:rPr>
          <w:rFonts w:hint="eastAsia" w:ascii="仿宋" w:hAnsi="仿宋" w:eastAsia="仿宋"/>
          <w:color w:val="auto"/>
          <w:sz w:val="32"/>
          <w:szCs w:val="32"/>
          <w:highlight w:val="none"/>
          <w:lang w:val="en-US" w:eastAsia="zh-CN"/>
        </w:rPr>
        <w:t>市政务服务和大数据管理局</w:t>
      </w: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年度部门决算编制范围的二级预算单位</w:t>
      </w:r>
      <w:r>
        <w:rPr>
          <w:rFonts w:hint="eastAsia" w:ascii="仿宋" w:hAnsi="仿宋" w:eastAsia="仿宋"/>
          <w:color w:val="auto"/>
          <w:sz w:val="32"/>
          <w:szCs w:val="32"/>
          <w:highlight w:val="none"/>
          <w:lang w:eastAsia="zh-CN"/>
        </w:rPr>
        <w:t>。</w:t>
      </w:r>
    </w:p>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4"/>
        <w:ind w:right="440"/>
        <w:jc w:val="center"/>
        <w:rPr>
          <w:rStyle w:val="28"/>
          <w:rFonts w:ascii="黑体" w:hAnsi="黑体" w:eastAsia="黑体"/>
          <w:b w:val="0"/>
          <w:bCs/>
          <w:color w:val="auto"/>
          <w:highlight w:val="none"/>
        </w:rPr>
      </w:pPr>
      <w:bookmarkStart w:id="23" w:name="_Toc15396602"/>
      <w:bookmarkStart w:id="24" w:name="_Toc15377204"/>
      <w:bookmarkStart w:id="25" w:name="_Toc13386"/>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2022年度</w:t>
      </w:r>
      <w:r>
        <w:rPr>
          <w:rStyle w:val="28"/>
          <w:rFonts w:hint="eastAsia" w:ascii="黑体" w:hAnsi="黑体" w:eastAsia="黑体"/>
          <w:b w:val="0"/>
          <w:bCs/>
          <w:color w:val="auto"/>
          <w:highlight w:val="none"/>
        </w:rPr>
        <w:t>部门决算情况说明</w:t>
      </w:r>
      <w:bookmarkEnd w:id="23"/>
      <w:bookmarkEnd w:id="24"/>
      <w:bookmarkEnd w:id="25"/>
    </w:p>
    <w:p>
      <w:pPr>
        <w:rPr>
          <w:color w:val="auto"/>
          <w:highlight w:val="none"/>
        </w:rPr>
      </w:pPr>
    </w:p>
    <w:p>
      <w:pPr>
        <w:pStyle w:val="27"/>
        <w:numPr>
          <w:ilvl w:val="0"/>
          <w:numId w:val="1"/>
        </w:numPr>
        <w:spacing w:line="600" w:lineRule="exact"/>
        <w:ind w:firstLineChars="0"/>
        <w:outlineLvl w:val="1"/>
        <w:rPr>
          <w:rStyle w:val="29"/>
          <w:rFonts w:ascii="黑体" w:hAnsi="黑体" w:eastAsia="黑体"/>
          <w:b w:val="0"/>
          <w:color w:val="auto"/>
          <w:highlight w:val="none"/>
        </w:rPr>
      </w:pPr>
      <w:bookmarkStart w:id="26" w:name="_Toc15396603"/>
      <w:bookmarkStart w:id="27" w:name="_Toc15377205"/>
      <w:bookmarkStart w:id="28" w:name="_Toc30653"/>
      <w:r>
        <w:rPr>
          <w:rFonts w:hint="eastAsia" w:ascii="黑体" w:hAnsi="黑体" w:eastAsia="黑体"/>
          <w:color w:val="auto"/>
          <w:sz w:val="32"/>
          <w:szCs w:val="32"/>
          <w:highlight w:val="none"/>
        </w:rPr>
        <w:t>收</w:t>
      </w:r>
      <w:r>
        <w:rPr>
          <w:rStyle w:val="29"/>
          <w:rFonts w:hint="eastAsia" w:ascii="黑体" w:hAnsi="黑体" w:eastAsia="黑体"/>
          <w:b w:val="0"/>
          <w:color w:val="auto"/>
          <w:highlight w:val="none"/>
        </w:rPr>
        <w:t>入支出决算总体情况说明</w:t>
      </w:r>
      <w:bookmarkEnd w:id="26"/>
      <w:bookmarkEnd w:id="27"/>
      <w:bookmarkEnd w:id="28"/>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1485.68</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年相比，收、支总计各</w:t>
      </w:r>
      <w:r>
        <w:rPr>
          <w:rFonts w:hint="eastAsia" w:ascii="仿宋" w:hAnsi="仿宋" w:eastAsia="仿宋"/>
          <w:color w:val="auto"/>
          <w:sz w:val="32"/>
          <w:szCs w:val="32"/>
          <w:highlight w:val="none"/>
          <w:lang w:val="en-US" w:eastAsia="zh-CN"/>
        </w:rPr>
        <w:t>减少352.43</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val="en-US" w:eastAsia="zh-CN"/>
        </w:rPr>
        <w:t>减少32.18</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发展类项目减少</w:t>
      </w:r>
      <w:r>
        <w:rPr>
          <w:rFonts w:hint="eastAsia" w:ascii="仿宋" w:hAnsi="仿宋" w:eastAsia="仿宋"/>
          <w:color w:val="auto"/>
          <w:sz w:val="32"/>
          <w:szCs w:val="32"/>
          <w:highlight w:val="none"/>
          <w:lang w:eastAsia="zh-CN"/>
        </w:rPr>
        <w:t>。</w:t>
      </w:r>
    </w:p>
    <w:p>
      <w:pPr>
        <w:spacing w:line="600" w:lineRule="exact"/>
        <w:ind w:firstLine="640" w:firstLineChars="200"/>
        <w:jc w:val="center"/>
        <w:rPr>
          <w:rFonts w:ascii="仿宋_GB2312" w:eastAsia="仿宋_GB2312"/>
          <w:color w:val="auto"/>
          <w:sz w:val="32"/>
          <w:szCs w:val="32"/>
          <w:highlight w:val="none"/>
        </w:rPr>
      </w:pPr>
      <w:r>
        <w:rPr>
          <w:rFonts w:hint="eastAsia" w:ascii="仿宋" w:hAnsi="仿宋" w:eastAsia="仿宋"/>
          <w:color w:val="auto"/>
          <w:sz w:val="32"/>
          <w:szCs w:val="32"/>
          <w:highlight w:val="yellow"/>
          <w:lang w:eastAsia="zh-CN"/>
        </w:rPr>
        <w:drawing>
          <wp:anchor distT="0" distB="0" distL="114300" distR="114300" simplePos="0" relativeHeight="251663360" behindDoc="0" locked="0" layoutInCell="1" allowOverlap="1">
            <wp:simplePos x="0" y="0"/>
            <wp:positionH relativeFrom="column">
              <wp:posOffset>15240</wp:posOffset>
            </wp:positionH>
            <wp:positionV relativeFrom="paragraph">
              <wp:posOffset>46355</wp:posOffset>
            </wp:positionV>
            <wp:extent cx="5636895" cy="1847850"/>
            <wp:effectExtent l="4445" t="4445" r="16510" b="14605"/>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w:t>
      </w:r>
    </w:p>
    <w:p>
      <w:pPr>
        <w:pStyle w:val="27"/>
        <w:numPr>
          <w:ilvl w:val="0"/>
          <w:numId w:val="1"/>
        </w:numPr>
        <w:spacing w:line="600" w:lineRule="exact"/>
        <w:ind w:firstLineChars="0"/>
        <w:outlineLvl w:val="1"/>
        <w:rPr>
          <w:rStyle w:val="29"/>
          <w:rFonts w:ascii="黑体" w:hAnsi="黑体" w:eastAsia="黑体"/>
          <w:b w:val="0"/>
          <w:color w:val="auto"/>
          <w:highlight w:val="none"/>
        </w:rPr>
      </w:pPr>
      <w:bookmarkStart w:id="29" w:name="_Toc25008"/>
      <w:bookmarkStart w:id="30" w:name="_Toc15377206"/>
      <w:bookmarkStart w:id="31" w:name="_Toc15396604"/>
      <w:r>
        <w:rPr>
          <w:rFonts w:hint="eastAsia" w:ascii="黑体" w:hAnsi="黑体" w:eastAsia="黑体"/>
          <w:color w:val="auto"/>
          <w:sz w:val="32"/>
          <w:szCs w:val="32"/>
          <w:highlight w:val="none"/>
        </w:rPr>
        <w:t>收</w:t>
      </w:r>
      <w:r>
        <w:rPr>
          <w:rStyle w:val="29"/>
          <w:rFonts w:hint="eastAsia" w:ascii="黑体" w:hAnsi="黑体" w:eastAsia="黑体"/>
          <w:b w:val="0"/>
          <w:color w:val="auto"/>
          <w:highlight w:val="none"/>
        </w:rPr>
        <w:t>入决算情况说明</w:t>
      </w:r>
      <w:bookmarkEnd w:id="29"/>
      <w:bookmarkEnd w:id="30"/>
      <w:bookmarkEnd w:id="31"/>
    </w:p>
    <w:p>
      <w:pPr>
        <w:spacing w:line="600" w:lineRule="exact"/>
        <w:ind w:firstLine="640" w:firstLineChars="200"/>
        <w:outlineLvl w:val="1"/>
        <w:rPr>
          <w:rFonts w:ascii="仿宋" w:hAnsi="仿宋" w:eastAsia="仿宋"/>
          <w:color w:val="auto"/>
          <w:sz w:val="32"/>
          <w:szCs w:val="32"/>
          <w:highlight w:val="none"/>
        </w:rPr>
      </w:pPr>
      <w:bookmarkStart w:id="32" w:name="_Toc25556"/>
      <w:bookmarkStart w:id="33" w:name="_Toc21079"/>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692.90</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692.90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32"/>
      <w:bookmarkEnd w:id="33"/>
    </w:p>
    <w:p>
      <w:pPr>
        <w:spacing w:line="600" w:lineRule="exact"/>
        <w:ind w:firstLine="640" w:firstLineChars="200"/>
        <w:jc w:val="center"/>
        <w:rPr>
          <w:rFonts w:ascii="仿宋_GB2312" w:eastAsia="仿宋_GB2312"/>
          <w:color w:val="auto"/>
          <w:sz w:val="32"/>
          <w:szCs w:val="32"/>
          <w:highlight w:val="none"/>
        </w:rPr>
      </w:pPr>
      <w:r>
        <w:rPr>
          <w:rFonts w:hint="eastAsia" w:ascii="仿宋" w:hAnsi="仿宋" w:eastAsia="仿宋"/>
          <w:color w:val="auto"/>
          <w:sz w:val="32"/>
          <w:szCs w:val="32"/>
          <w:highlight w:val="none"/>
          <w:lang w:eastAsia="zh-CN"/>
        </w:rPr>
        <w:drawing>
          <wp:anchor distT="0" distB="0" distL="114300" distR="114300" simplePos="0" relativeHeight="251659264" behindDoc="0" locked="0" layoutInCell="1" allowOverlap="1">
            <wp:simplePos x="0" y="0"/>
            <wp:positionH relativeFrom="column">
              <wp:posOffset>10795</wp:posOffset>
            </wp:positionH>
            <wp:positionV relativeFrom="paragraph">
              <wp:posOffset>231775</wp:posOffset>
            </wp:positionV>
            <wp:extent cx="5596255" cy="1494155"/>
            <wp:effectExtent l="5080" t="4445" r="18415" b="6350"/>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 w:hAnsi="仿宋" w:eastAsia="仿宋"/>
          <w:color w:val="auto"/>
          <w:sz w:val="32"/>
          <w:szCs w:val="32"/>
          <w:highlight w:val="none"/>
        </w:rPr>
        <w:t>（图2：收入决算结构图）</w:t>
      </w:r>
    </w:p>
    <w:p>
      <w:pPr>
        <w:pStyle w:val="27"/>
        <w:numPr>
          <w:ilvl w:val="0"/>
          <w:numId w:val="1"/>
        </w:numPr>
        <w:spacing w:line="600" w:lineRule="exact"/>
        <w:ind w:firstLineChars="0"/>
        <w:outlineLvl w:val="1"/>
        <w:rPr>
          <w:rStyle w:val="29"/>
          <w:rFonts w:ascii="黑体" w:hAnsi="黑体" w:eastAsia="黑体"/>
          <w:b w:val="0"/>
          <w:color w:val="auto"/>
          <w:highlight w:val="none"/>
        </w:rPr>
      </w:pPr>
      <w:bookmarkStart w:id="34" w:name="_Toc15377207"/>
      <w:bookmarkStart w:id="35" w:name="_Toc834"/>
      <w:bookmarkStart w:id="36" w:name="_Toc15396605"/>
      <w:r>
        <w:rPr>
          <w:rFonts w:hint="eastAsia" w:ascii="黑体" w:hAnsi="黑体" w:eastAsia="黑体"/>
          <w:color w:val="auto"/>
          <w:sz w:val="32"/>
          <w:szCs w:val="32"/>
          <w:highlight w:val="none"/>
        </w:rPr>
        <w:t>支</w:t>
      </w:r>
      <w:r>
        <w:rPr>
          <w:rStyle w:val="29"/>
          <w:rFonts w:hint="eastAsia" w:ascii="黑体" w:hAnsi="黑体" w:eastAsia="黑体"/>
          <w:b w:val="0"/>
          <w:color w:val="auto"/>
          <w:highlight w:val="none"/>
        </w:rPr>
        <w:t>出决算情况说明</w:t>
      </w:r>
      <w:bookmarkEnd w:id="34"/>
      <w:bookmarkEnd w:id="35"/>
      <w:bookmarkEnd w:id="36"/>
    </w:p>
    <w:p>
      <w:pPr>
        <w:spacing w:line="600" w:lineRule="exact"/>
        <w:ind w:firstLine="640" w:firstLineChars="200"/>
        <w:outlineLvl w:val="1"/>
        <w:rPr>
          <w:rFonts w:ascii="仿宋" w:hAnsi="仿宋" w:eastAsia="仿宋"/>
          <w:color w:val="auto"/>
          <w:sz w:val="32"/>
          <w:szCs w:val="32"/>
          <w:highlight w:val="none"/>
          <w:shd w:val="pct10" w:color="auto" w:fill="FFFFFF"/>
        </w:rPr>
      </w:pPr>
      <w:bookmarkStart w:id="37" w:name="_Toc10582"/>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725.25</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417.72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57.60</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307.53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42.40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37"/>
    </w:p>
    <w:p>
      <w:pPr>
        <w:spacing w:line="600" w:lineRule="exact"/>
        <w:ind w:firstLine="640" w:firstLineChars="200"/>
        <w:jc w:val="center"/>
        <w:rPr>
          <w:rFonts w:ascii="仿宋_GB2312" w:eastAsia="仿宋_GB2312"/>
          <w:color w:val="auto"/>
          <w:sz w:val="32"/>
          <w:szCs w:val="32"/>
          <w:highlight w:val="none"/>
        </w:rPr>
      </w:pPr>
      <w:r>
        <w:rPr>
          <w:rFonts w:hint="eastAsia" w:ascii="仿宋" w:hAnsi="仿宋" w:eastAsia="仿宋"/>
          <w:color w:val="auto"/>
          <w:sz w:val="32"/>
          <w:szCs w:val="32"/>
          <w:highlight w:val="none"/>
          <w:shd w:val="pct10" w:color="auto" w:fill="FFFFFF"/>
          <w:lang w:eastAsia="zh-CN"/>
        </w:rPr>
        <w:drawing>
          <wp:anchor distT="0" distB="0" distL="114300" distR="114300" simplePos="0" relativeHeight="251660288" behindDoc="0" locked="0" layoutInCell="1" allowOverlap="1">
            <wp:simplePos x="0" y="0"/>
            <wp:positionH relativeFrom="column">
              <wp:posOffset>115570</wp:posOffset>
            </wp:positionH>
            <wp:positionV relativeFrom="paragraph">
              <wp:posOffset>178435</wp:posOffset>
            </wp:positionV>
            <wp:extent cx="5496560" cy="2197735"/>
            <wp:effectExtent l="5080" t="4445" r="22860" b="7620"/>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仿宋" w:hAnsi="仿宋" w:eastAsia="仿宋"/>
          <w:color w:val="auto"/>
          <w:sz w:val="32"/>
          <w:szCs w:val="32"/>
          <w:highlight w:val="none"/>
        </w:rPr>
        <w:t>（图3：支出决算结构图）</w:t>
      </w:r>
    </w:p>
    <w:p>
      <w:pPr>
        <w:spacing w:line="600" w:lineRule="exact"/>
        <w:ind w:firstLine="640" w:firstLineChars="200"/>
        <w:outlineLvl w:val="1"/>
        <w:rPr>
          <w:rStyle w:val="29"/>
          <w:rFonts w:ascii="黑体" w:hAnsi="黑体" w:eastAsia="黑体"/>
          <w:b w:val="0"/>
          <w:color w:val="auto"/>
          <w:highlight w:val="none"/>
        </w:rPr>
      </w:pPr>
      <w:bookmarkStart w:id="38" w:name="_Toc11972"/>
      <w:bookmarkStart w:id="39" w:name="_Toc15396606"/>
      <w:bookmarkStart w:id="40" w:name="_Toc15377208"/>
      <w:r>
        <w:rPr>
          <w:rFonts w:hint="eastAsia" w:ascii="黑体" w:hAnsi="黑体" w:eastAsia="黑体"/>
          <w:color w:val="auto"/>
          <w:sz w:val="32"/>
          <w:szCs w:val="32"/>
          <w:highlight w:val="none"/>
        </w:rPr>
        <w:t>四、财</w:t>
      </w:r>
      <w:r>
        <w:rPr>
          <w:rStyle w:val="29"/>
          <w:rFonts w:hint="eastAsia" w:ascii="黑体" w:hAnsi="黑体" w:eastAsia="黑体"/>
          <w:b w:val="0"/>
          <w:color w:val="auto"/>
          <w:highlight w:val="none"/>
        </w:rPr>
        <w:t>政拨款收入支出决算总体情况说明</w:t>
      </w:r>
      <w:bookmarkEnd w:id="38"/>
      <w:bookmarkEnd w:id="39"/>
      <w:bookmarkEnd w:id="40"/>
    </w:p>
    <w:p>
      <w:pPr>
        <w:spacing w:line="600" w:lineRule="exact"/>
        <w:ind w:firstLine="640"/>
        <w:rPr>
          <w:rFonts w:hint="eastAsia" w:eastAsia="仿宋_GB2312"/>
          <w:lang w:eastAsia="zh-CN"/>
        </w:rPr>
      </w:pPr>
      <w:r>
        <w:rPr>
          <w:rFonts w:hint="eastAsia" w:eastAsia="仿宋_GB2312"/>
          <w:lang w:eastAsia="zh-CN"/>
        </w:rPr>
        <w:drawing>
          <wp:anchor distT="0" distB="0" distL="114300" distR="114300" simplePos="0" relativeHeight="251664384" behindDoc="0" locked="0" layoutInCell="1" allowOverlap="1">
            <wp:simplePos x="0" y="0"/>
            <wp:positionH relativeFrom="column">
              <wp:posOffset>5080</wp:posOffset>
            </wp:positionH>
            <wp:positionV relativeFrom="paragraph">
              <wp:posOffset>1191260</wp:posOffset>
            </wp:positionV>
            <wp:extent cx="5617845" cy="2277110"/>
            <wp:effectExtent l="4445" t="4445" r="16510" b="23495"/>
            <wp:wrapTopAndBottom/>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1485.68</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年相比，财政拨款收、支总计各减少</w:t>
      </w:r>
      <w:r>
        <w:rPr>
          <w:rFonts w:hint="eastAsia" w:ascii="仿宋" w:hAnsi="仿宋" w:eastAsia="仿宋"/>
          <w:color w:val="auto"/>
          <w:sz w:val="32"/>
          <w:szCs w:val="32"/>
          <w:highlight w:val="none"/>
          <w:lang w:val="en-US" w:eastAsia="zh-CN"/>
        </w:rPr>
        <w:t>352.43</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32.18</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发展类项目减少。</w:t>
      </w:r>
    </w:p>
    <w:p>
      <w:pPr>
        <w:spacing w:line="600" w:lineRule="exact"/>
        <w:ind w:firstLine="640" w:firstLineChars="200"/>
        <w:jc w:val="center"/>
        <w:rPr>
          <w:rFonts w:ascii="仿宋" w:hAnsi="仿宋" w:eastAsia="仿宋"/>
          <w:b/>
          <w:color w:val="auto"/>
          <w:sz w:val="32"/>
          <w:szCs w:val="32"/>
          <w:highlight w:val="none"/>
        </w:rPr>
      </w:pPr>
      <w:r>
        <w:rPr>
          <w:rFonts w:hint="eastAsia" w:ascii="仿宋" w:hAnsi="仿宋" w:eastAsia="仿宋"/>
          <w:color w:val="auto"/>
          <w:sz w:val="32"/>
          <w:szCs w:val="32"/>
          <w:highlight w:val="none"/>
        </w:rPr>
        <w:t>（图4：财政拨款收、支决算总计变动情况）</w:t>
      </w:r>
    </w:p>
    <w:p>
      <w:pPr>
        <w:spacing w:line="600" w:lineRule="exact"/>
        <w:ind w:firstLine="640" w:firstLineChars="200"/>
        <w:outlineLvl w:val="1"/>
        <w:rPr>
          <w:rStyle w:val="29"/>
          <w:rFonts w:ascii="黑体" w:hAnsi="黑体" w:eastAsia="黑体"/>
          <w:b w:val="0"/>
          <w:color w:val="auto"/>
          <w:highlight w:val="none"/>
        </w:rPr>
      </w:pPr>
      <w:bookmarkStart w:id="41" w:name="_Toc15396607"/>
      <w:bookmarkStart w:id="42" w:name="_Toc15377209"/>
      <w:bookmarkStart w:id="43" w:name="_Toc6906"/>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9"/>
          <w:rFonts w:hint="eastAsia" w:ascii="黑体" w:hAnsi="黑体" w:eastAsia="黑体"/>
          <w:b w:val="0"/>
          <w:color w:val="auto"/>
          <w:highlight w:val="none"/>
        </w:rPr>
        <w:t>般公共预算财政拨款支出决算情况说明</w:t>
      </w:r>
      <w:bookmarkEnd w:id="41"/>
      <w:bookmarkEnd w:id="42"/>
      <w:bookmarkEnd w:id="43"/>
    </w:p>
    <w:p>
      <w:pPr>
        <w:spacing w:line="600" w:lineRule="exact"/>
        <w:ind w:firstLine="642" w:firstLineChars="200"/>
        <w:outlineLvl w:val="2"/>
        <w:rPr>
          <w:rFonts w:ascii="仿宋" w:hAnsi="仿宋" w:eastAsia="仿宋"/>
          <w:b/>
          <w:color w:val="auto"/>
          <w:sz w:val="32"/>
          <w:szCs w:val="32"/>
          <w:highlight w:val="none"/>
        </w:rPr>
      </w:pPr>
      <w:bookmarkStart w:id="44" w:name="_Toc15377210"/>
      <w:r>
        <w:rPr>
          <w:rFonts w:hint="eastAsia" w:ascii="仿宋" w:hAnsi="仿宋" w:eastAsia="仿宋"/>
          <w:b/>
          <w:color w:val="auto"/>
          <w:sz w:val="32"/>
          <w:szCs w:val="32"/>
          <w:highlight w:val="none"/>
        </w:rPr>
        <w:t>（一）一般公共预算财政拨款支出决算总体情况</w:t>
      </w:r>
      <w:bookmarkEnd w:id="44"/>
    </w:p>
    <w:p>
      <w:pPr>
        <w:spacing w:line="600" w:lineRule="exact"/>
        <w:ind w:firstLine="640" w:firstLineChars="200"/>
        <w:rPr>
          <w:rFonts w:hint="default" w:ascii="仿宋" w:hAnsi="仿宋" w:eastAsia="仿宋"/>
          <w:color w:val="auto"/>
          <w:sz w:val="32"/>
          <w:szCs w:val="32"/>
          <w:highlight w:val="none"/>
          <w:lang w:val="en-US"/>
        </w:rPr>
      </w:pPr>
      <w:r>
        <w:rPr>
          <w:rFonts w:hint="default" w:ascii="仿宋" w:hAnsi="仿宋" w:eastAsia="仿宋"/>
          <w:color w:val="auto"/>
          <w:sz w:val="32"/>
          <w:szCs w:val="32"/>
          <w:highlight w:val="none"/>
          <w:lang w:val="en-US"/>
        </w:rPr>
        <w:drawing>
          <wp:anchor distT="0" distB="0" distL="114300" distR="114300" simplePos="0" relativeHeight="251665408" behindDoc="0" locked="0" layoutInCell="1" allowOverlap="1">
            <wp:simplePos x="0" y="0"/>
            <wp:positionH relativeFrom="column">
              <wp:posOffset>25400</wp:posOffset>
            </wp:positionH>
            <wp:positionV relativeFrom="paragraph">
              <wp:posOffset>1223010</wp:posOffset>
            </wp:positionV>
            <wp:extent cx="5586730" cy="1765300"/>
            <wp:effectExtent l="4445" t="4445" r="9525" b="20955"/>
            <wp:wrapTopAndBottom/>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725.25</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减少</w:t>
      </w:r>
      <w:r>
        <w:rPr>
          <w:rFonts w:hint="eastAsia" w:ascii="仿宋" w:hAnsi="仿宋" w:eastAsia="仿宋"/>
          <w:color w:val="auto"/>
          <w:sz w:val="32"/>
          <w:szCs w:val="32"/>
          <w:highlight w:val="none"/>
          <w:lang w:val="en-US" w:eastAsia="zh-CN"/>
        </w:rPr>
        <w:t>295.05</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28.92</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发展类项目减少。</w:t>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w:t>
      </w:r>
    </w:p>
    <w:p>
      <w:pPr>
        <w:spacing w:line="600" w:lineRule="exact"/>
        <w:ind w:firstLine="642" w:firstLineChars="200"/>
        <w:outlineLvl w:val="2"/>
        <w:rPr>
          <w:rFonts w:ascii="仿宋" w:hAnsi="仿宋" w:eastAsia="仿宋"/>
          <w:b/>
          <w:color w:val="auto"/>
          <w:sz w:val="32"/>
          <w:szCs w:val="32"/>
          <w:highlight w:val="none"/>
        </w:rPr>
      </w:pPr>
      <w:bookmarkStart w:id="45" w:name="_Toc15377211"/>
      <w:r>
        <w:rPr>
          <w:rFonts w:hint="eastAsia" w:ascii="仿宋" w:hAnsi="仿宋" w:eastAsia="仿宋"/>
          <w:b/>
          <w:color w:val="auto"/>
          <w:sz w:val="32"/>
          <w:szCs w:val="32"/>
          <w:highlight w:val="none"/>
        </w:rPr>
        <w:t>（二）一般公共预算财政拨款支出决算结构情况</w:t>
      </w:r>
      <w:bookmarkEnd w:id="45"/>
    </w:p>
    <w:p>
      <w:pPr>
        <w:spacing w:line="600" w:lineRule="exact"/>
        <w:ind w:firstLine="640"/>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drawing>
          <wp:anchor distT="0" distB="0" distL="114300" distR="114300" simplePos="0" relativeHeight="251662336" behindDoc="0" locked="0" layoutInCell="1" allowOverlap="1">
            <wp:simplePos x="0" y="0"/>
            <wp:positionH relativeFrom="column">
              <wp:posOffset>4445</wp:posOffset>
            </wp:positionH>
            <wp:positionV relativeFrom="page">
              <wp:posOffset>7332345</wp:posOffset>
            </wp:positionV>
            <wp:extent cx="5645150" cy="1724660"/>
            <wp:effectExtent l="5080" t="4445" r="7620" b="23495"/>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725.25</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一般公共服务</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650.63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89.71</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27.70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3.82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color w:val="auto"/>
          <w:sz w:val="32"/>
          <w:szCs w:val="32"/>
          <w:highlight w:val="none"/>
          <w:lang w:val="en-US" w:eastAsia="zh-CN"/>
        </w:rPr>
        <w:t>17.64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2.43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住房保障支出</w:t>
      </w:r>
      <w:r>
        <w:rPr>
          <w:rFonts w:hint="eastAsia" w:ascii="仿宋" w:hAnsi="仿宋" w:eastAsia="仿宋"/>
          <w:color w:val="auto"/>
          <w:sz w:val="32"/>
          <w:szCs w:val="32"/>
          <w:highlight w:val="none"/>
          <w:lang w:val="en-US" w:eastAsia="zh-CN"/>
        </w:rPr>
        <w:t>29.27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4.04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w:t>
      </w:r>
    </w:p>
    <w:p>
      <w:pPr>
        <w:spacing w:line="600" w:lineRule="exact"/>
        <w:ind w:firstLine="642" w:firstLineChars="200"/>
        <w:outlineLvl w:val="2"/>
        <w:rPr>
          <w:rFonts w:ascii="仿宋" w:hAnsi="仿宋" w:eastAsia="仿宋"/>
          <w:b/>
          <w:color w:val="auto"/>
          <w:sz w:val="32"/>
          <w:szCs w:val="32"/>
          <w:highlight w:val="none"/>
        </w:rPr>
      </w:pPr>
      <w:bookmarkStart w:id="46" w:name="_Toc15377212"/>
      <w:r>
        <w:rPr>
          <w:rFonts w:hint="eastAsia" w:ascii="仿宋" w:hAnsi="仿宋" w:eastAsia="仿宋"/>
          <w:b/>
          <w:color w:val="auto"/>
          <w:sz w:val="32"/>
          <w:szCs w:val="32"/>
          <w:highlight w:val="none"/>
        </w:rPr>
        <w:t>（三）一般公共预算财政拨款支出决算具体情况</w:t>
      </w:r>
      <w:bookmarkEnd w:id="46"/>
    </w:p>
    <w:p>
      <w:pPr>
        <w:spacing w:line="600" w:lineRule="exact"/>
        <w:ind w:firstLine="642" w:firstLineChars="200"/>
        <w:outlineLvl w:val="1"/>
        <w:rPr>
          <w:rFonts w:ascii="仿宋" w:hAnsi="仿宋" w:eastAsia="仿宋"/>
          <w:color w:val="auto"/>
          <w:sz w:val="32"/>
          <w:szCs w:val="32"/>
          <w:highlight w:val="none"/>
        </w:rPr>
      </w:pPr>
      <w:bookmarkStart w:id="47" w:name="_Toc15377444"/>
      <w:bookmarkStart w:id="48" w:name="_Toc15378460"/>
      <w:bookmarkStart w:id="49" w:name="_Toc15377213"/>
      <w:bookmarkStart w:id="50" w:name="_Toc31347"/>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725.25万元</w:t>
      </w:r>
      <w:r>
        <w:rPr>
          <w:rFonts w:hint="eastAsia" w:ascii="仿宋" w:hAnsi="仿宋" w:eastAsia="仿宋"/>
          <w:color w:val="auto"/>
          <w:sz w:val="32"/>
          <w:szCs w:val="32"/>
          <w:highlight w:val="none"/>
        </w:rPr>
        <w:t>，</w:t>
      </w:r>
      <w:r>
        <w:rPr>
          <w:rStyle w:val="17"/>
          <w:rFonts w:hint="eastAsia" w:ascii="仿宋" w:hAnsi="仿宋" w:eastAsia="仿宋"/>
          <w:bCs/>
          <w:color w:val="auto"/>
          <w:sz w:val="32"/>
          <w:szCs w:val="32"/>
          <w:highlight w:val="none"/>
        </w:rPr>
        <w:t>完成预算</w:t>
      </w:r>
      <w:r>
        <w:rPr>
          <w:rStyle w:val="17"/>
          <w:rFonts w:hint="eastAsia" w:ascii="仿宋" w:hAnsi="仿宋" w:eastAsia="仿宋"/>
          <w:bCs/>
          <w:color w:val="auto"/>
          <w:sz w:val="32"/>
          <w:szCs w:val="32"/>
          <w:highlight w:val="none"/>
          <w:lang w:val="en-US" w:eastAsia="zh-CN"/>
        </w:rPr>
        <w:t>97.63</w:t>
      </w:r>
      <w:r>
        <w:rPr>
          <w:rStyle w:val="17"/>
          <w:rFonts w:ascii="仿宋" w:hAnsi="仿宋" w:eastAsia="仿宋"/>
          <w:bCs/>
          <w:color w:val="auto"/>
          <w:sz w:val="32"/>
          <w:szCs w:val="32"/>
          <w:highlight w:val="none"/>
        </w:rPr>
        <w:t>%</w:t>
      </w:r>
      <w:r>
        <w:rPr>
          <w:rStyle w:val="17"/>
          <w:rFonts w:hint="eastAsia" w:ascii="仿宋" w:hAnsi="仿宋" w:eastAsia="仿宋"/>
          <w:bCs/>
          <w:color w:val="auto"/>
          <w:sz w:val="32"/>
          <w:szCs w:val="32"/>
          <w:highlight w:val="none"/>
        </w:rPr>
        <w:t>。其中：</w:t>
      </w:r>
      <w:bookmarkEnd w:id="47"/>
      <w:bookmarkEnd w:id="48"/>
      <w:bookmarkEnd w:id="49"/>
      <w:bookmarkEnd w:id="50"/>
    </w:p>
    <w:p>
      <w:pPr>
        <w:numPr>
          <w:ilvl w:val="0"/>
          <w:numId w:val="2"/>
        </w:numPr>
        <w:spacing w:line="600" w:lineRule="exact"/>
        <w:ind w:firstLine="642" w:firstLineChars="200"/>
        <w:rPr>
          <w:rStyle w:val="17"/>
          <w:rFonts w:hint="eastAsia" w:ascii="仿宋" w:hAnsi="仿宋" w:eastAsia="仿宋"/>
          <w:b w:val="0"/>
          <w:bCs/>
          <w:color w:val="auto"/>
          <w:sz w:val="32"/>
          <w:szCs w:val="32"/>
          <w:highlight w:val="none"/>
        </w:rPr>
      </w:pPr>
      <w:r>
        <w:rPr>
          <w:rStyle w:val="17"/>
          <w:rFonts w:hint="eastAsia" w:ascii="仿宋" w:hAnsi="仿宋" w:eastAsia="仿宋"/>
          <w:bCs/>
          <w:color w:val="auto"/>
          <w:sz w:val="32"/>
          <w:szCs w:val="32"/>
          <w:highlight w:val="none"/>
        </w:rPr>
        <w:t>一般公共服务（类）政府办公厅（室）及相关机构事务（款）</w:t>
      </w:r>
      <w:r>
        <w:rPr>
          <w:rStyle w:val="17"/>
          <w:rFonts w:hint="eastAsia" w:ascii="仿宋" w:hAnsi="仿宋" w:eastAsia="仿宋"/>
          <w:bCs/>
          <w:color w:val="auto"/>
          <w:sz w:val="32"/>
          <w:szCs w:val="32"/>
          <w:highlight w:val="none"/>
          <w:lang w:val="en-US" w:eastAsia="zh-CN"/>
        </w:rPr>
        <w:t>行政运行</w:t>
      </w:r>
      <w:r>
        <w:rPr>
          <w:rStyle w:val="17"/>
          <w:rFonts w:hint="eastAsia" w:ascii="仿宋" w:hAnsi="仿宋" w:eastAsia="仿宋"/>
          <w:bCs/>
          <w:color w:val="auto"/>
          <w:sz w:val="32"/>
          <w:szCs w:val="32"/>
          <w:highlight w:val="none"/>
        </w:rPr>
        <w:t>（项）</w:t>
      </w:r>
      <w:r>
        <w:rPr>
          <w:rStyle w:val="17"/>
          <w:rFonts w:ascii="仿宋" w:hAnsi="仿宋" w:eastAsia="仿宋"/>
          <w:bCs/>
          <w:color w:val="auto"/>
          <w:sz w:val="32"/>
          <w:szCs w:val="32"/>
          <w:highlight w:val="none"/>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270.22</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w:t>
      </w:r>
      <w:r>
        <w:rPr>
          <w:rStyle w:val="17"/>
          <w:rFonts w:hint="eastAsia" w:ascii="仿宋" w:hAnsi="仿宋" w:eastAsia="仿宋"/>
          <w:b w:val="0"/>
          <w:bCs/>
          <w:color w:val="auto"/>
          <w:sz w:val="32"/>
          <w:szCs w:val="32"/>
          <w:highlight w:val="none"/>
          <w:lang w:val="en-US" w:eastAsia="zh-CN"/>
        </w:rPr>
        <w:t>等于</w:t>
      </w:r>
      <w:r>
        <w:rPr>
          <w:rStyle w:val="17"/>
          <w:rFonts w:hint="eastAsia" w:ascii="仿宋" w:hAnsi="仿宋" w:eastAsia="仿宋"/>
          <w:b w:val="0"/>
          <w:bCs/>
          <w:color w:val="auto"/>
          <w:sz w:val="32"/>
          <w:szCs w:val="32"/>
          <w:highlight w:val="none"/>
        </w:rPr>
        <w:t>预算数。</w:t>
      </w:r>
    </w:p>
    <w:p>
      <w:pPr>
        <w:pStyle w:val="2"/>
        <w:numPr>
          <w:ilvl w:val="0"/>
          <w:numId w:val="0"/>
        </w:numPr>
        <w:ind w:firstLine="642" w:firstLineChars="200"/>
      </w:pPr>
      <w:r>
        <w:rPr>
          <w:rStyle w:val="17"/>
          <w:rFonts w:hint="eastAsia" w:ascii="仿宋" w:hAnsi="仿宋" w:eastAsia="仿宋"/>
          <w:bCs/>
          <w:color w:val="auto"/>
          <w:sz w:val="32"/>
          <w:szCs w:val="32"/>
          <w:highlight w:val="none"/>
          <w:lang w:val="en-US" w:eastAsia="zh-CN"/>
        </w:rPr>
        <w:t>2.</w:t>
      </w:r>
      <w:r>
        <w:rPr>
          <w:rStyle w:val="17"/>
          <w:rFonts w:hint="eastAsia" w:ascii="仿宋" w:hAnsi="仿宋" w:eastAsia="仿宋"/>
          <w:bCs/>
          <w:color w:val="auto"/>
          <w:sz w:val="32"/>
          <w:szCs w:val="32"/>
          <w:highlight w:val="none"/>
        </w:rPr>
        <w:t>一般公共服务（类）政府办公厅（室）及相关机构事务（款）</w:t>
      </w:r>
      <w:r>
        <w:rPr>
          <w:rStyle w:val="17"/>
          <w:rFonts w:hint="eastAsia" w:ascii="仿宋" w:hAnsi="仿宋" w:eastAsia="仿宋"/>
          <w:bCs/>
          <w:color w:val="auto"/>
          <w:sz w:val="32"/>
          <w:szCs w:val="32"/>
          <w:highlight w:val="none"/>
          <w:lang w:val="en-US" w:eastAsia="zh-CN"/>
        </w:rPr>
        <w:t>一般行政管理事务</w:t>
      </w:r>
      <w:r>
        <w:rPr>
          <w:rStyle w:val="17"/>
          <w:rFonts w:hint="eastAsia" w:ascii="仿宋" w:hAnsi="仿宋" w:eastAsia="仿宋"/>
          <w:bCs/>
          <w:color w:val="auto"/>
          <w:sz w:val="32"/>
          <w:szCs w:val="32"/>
          <w:highlight w:val="none"/>
        </w:rPr>
        <w:t>（项）</w:t>
      </w:r>
      <w:r>
        <w:rPr>
          <w:rStyle w:val="17"/>
          <w:rFonts w:ascii="仿宋" w:hAnsi="仿宋" w:eastAsia="仿宋"/>
          <w:bCs/>
          <w:color w:val="auto"/>
          <w:sz w:val="32"/>
          <w:szCs w:val="32"/>
          <w:highlight w:val="none"/>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79.13</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w:t>
      </w:r>
      <w:r>
        <w:rPr>
          <w:rStyle w:val="17"/>
          <w:rFonts w:hint="eastAsia" w:ascii="仿宋" w:hAnsi="仿宋" w:eastAsia="仿宋"/>
          <w:b w:val="0"/>
          <w:bCs/>
          <w:color w:val="auto"/>
          <w:sz w:val="32"/>
          <w:szCs w:val="32"/>
          <w:highlight w:val="none"/>
          <w:lang w:val="en-US" w:eastAsia="zh-CN"/>
        </w:rPr>
        <w:t>等于</w:t>
      </w:r>
      <w:r>
        <w:rPr>
          <w:rStyle w:val="17"/>
          <w:rFonts w:hint="eastAsia" w:ascii="仿宋" w:hAnsi="仿宋" w:eastAsia="仿宋"/>
          <w:b w:val="0"/>
          <w:bCs/>
          <w:color w:val="auto"/>
          <w:sz w:val="32"/>
          <w:szCs w:val="32"/>
          <w:highlight w:val="none"/>
        </w:rPr>
        <w:t>预算数。</w:t>
      </w:r>
    </w:p>
    <w:p>
      <w:pPr>
        <w:pStyle w:val="3"/>
        <w:ind w:left="0" w:leftChars="0" w:firstLine="642" w:firstLineChars="200"/>
        <w:rPr>
          <w:rStyle w:val="17"/>
          <w:rFonts w:hint="eastAsia" w:ascii="仿宋" w:hAnsi="仿宋" w:eastAsia="仿宋"/>
          <w:b w:val="0"/>
          <w:bCs/>
          <w:color w:val="auto"/>
          <w:sz w:val="32"/>
          <w:szCs w:val="32"/>
          <w:highlight w:val="none"/>
        </w:rPr>
      </w:pPr>
      <w:r>
        <w:rPr>
          <w:rStyle w:val="17"/>
          <w:rFonts w:hint="eastAsia" w:ascii="仿宋" w:hAnsi="仿宋" w:eastAsia="仿宋"/>
          <w:bCs/>
          <w:color w:val="auto"/>
          <w:sz w:val="32"/>
          <w:szCs w:val="32"/>
          <w:highlight w:val="none"/>
          <w:lang w:val="en-US" w:eastAsia="zh-CN"/>
        </w:rPr>
        <w:t>3.</w:t>
      </w:r>
      <w:r>
        <w:rPr>
          <w:rStyle w:val="17"/>
          <w:rFonts w:hint="eastAsia" w:ascii="仿宋" w:hAnsi="仿宋" w:eastAsia="仿宋"/>
          <w:bCs/>
          <w:color w:val="auto"/>
          <w:sz w:val="32"/>
          <w:szCs w:val="32"/>
          <w:highlight w:val="none"/>
        </w:rPr>
        <w:t>一般公共服务（类）政府办公厅（室）及相关机构事务（款）</w:t>
      </w:r>
      <w:r>
        <w:rPr>
          <w:rStyle w:val="17"/>
          <w:rFonts w:hint="eastAsia" w:ascii="仿宋" w:hAnsi="仿宋" w:eastAsia="仿宋"/>
          <w:bCs/>
          <w:color w:val="auto"/>
          <w:sz w:val="32"/>
          <w:szCs w:val="32"/>
          <w:highlight w:val="none"/>
          <w:lang w:val="en-US" w:eastAsia="zh-CN"/>
        </w:rPr>
        <w:t>事业运行</w:t>
      </w:r>
      <w:r>
        <w:rPr>
          <w:rStyle w:val="17"/>
          <w:rFonts w:hint="eastAsia" w:ascii="仿宋" w:hAnsi="仿宋" w:eastAsia="仿宋"/>
          <w:bCs/>
          <w:color w:val="auto"/>
          <w:sz w:val="32"/>
          <w:szCs w:val="32"/>
          <w:highlight w:val="none"/>
        </w:rPr>
        <w:t>（项）</w:t>
      </w:r>
      <w:r>
        <w:rPr>
          <w:rStyle w:val="17"/>
          <w:rFonts w:ascii="仿宋" w:hAnsi="仿宋" w:eastAsia="仿宋"/>
          <w:bCs/>
          <w:color w:val="auto"/>
          <w:sz w:val="32"/>
          <w:szCs w:val="32"/>
          <w:highlight w:val="none"/>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72.89</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w:t>
      </w:r>
      <w:r>
        <w:rPr>
          <w:rStyle w:val="17"/>
          <w:rFonts w:hint="eastAsia" w:ascii="仿宋" w:hAnsi="仿宋" w:eastAsia="仿宋"/>
          <w:b w:val="0"/>
          <w:bCs/>
          <w:color w:val="auto"/>
          <w:sz w:val="32"/>
          <w:szCs w:val="32"/>
          <w:highlight w:val="none"/>
          <w:lang w:val="en-US" w:eastAsia="zh-CN"/>
        </w:rPr>
        <w:t>等于</w:t>
      </w:r>
      <w:r>
        <w:rPr>
          <w:rStyle w:val="17"/>
          <w:rFonts w:hint="eastAsia" w:ascii="仿宋" w:hAnsi="仿宋" w:eastAsia="仿宋"/>
          <w:b w:val="0"/>
          <w:bCs/>
          <w:color w:val="auto"/>
          <w:sz w:val="32"/>
          <w:szCs w:val="32"/>
          <w:highlight w:val="none"/>
        </w:rPr>
        <w:t>预算数。</w:t>
      </w:r>
    </w:p>
    <w:p>
      <w:pPr>
        <w:ind w:firstLine="640" w:firstLineChars="200"/>
        <w:rPr>
          <w:rFonts w:hint="default" w:eastAsia="仿宋"/>
          <w:lang w:val="en-US" w:eastAsia="zh-CN"/>
        </w:rPr>
      </w:pPr>
      <w:r>
        <w:rPr>
          <w:rStyle w:val="17"/>
          <w:rFonts w:hint="eastAsia" w:ascii="仿宋" w:hAnsi="仿宋" w:eastAsia="仿宋"/>
          <w:b w:val="0"/>
          <w:bCs/>
          <w:color w:val="auto"/>
          <w:sz w:val="32"/>
          <w:szCs w:val="32"/>
          <w:highlight w:val="none"/>
          <w:lang w:val="en-US" w:eastAsia="zh-CN"/>
        </w:rPr>
        <w:t>4.</w:t>
      </w:r>
      <w:r>
        <w:rPr>
          <w:rStyle w:val="17"/>
          <w:rFonts w:hint="eastAsia" w:ascii="仿宋" w:hAnsi="仿宋" w:eastAsia="仿宋"/>
          <w:bCs/>
          <w:color w:val="auto"/>
          <w:sz w:val="32"/>
          <w:szCs w:val="32"/>
          <w:highlight w:val="none"/>
        </w:rPr>
        <w:t>一般公共服务（类）政府办公厅（室）及相关机构事务（款）</w:t>
      </w:r>
      <w:r>
        <w:rPr>
          <w:rStyle w:val="17"/>
          <w:rFonts w:hint="eastAsia" w:ascii="仿宋" w:hAnsi="仿宋" w:eastAsia="仿宋"/>
          <w:bCs/>
          <w:color w:val="auto"/>
          <w:sz w:val="32"/>
          <w:szCs w:val="32"/>
          <w:highlight w:val="none"/>
          <w:lang w:val="en-US" w:eastAsia="zh-CN"/>
        </w:rPr>
        <w:t>其他政府办公厅（室）及相关机构事务支出（</w:t>
      </w:r>
      <w:r>
        <w:rPr>
          <w:rStyle w:val="17"/>
          <w:rFonts w:hint="eastAsia" w:ascii="仿宋" w:hAnsi="仿宋" w:eastAsia="仿宋"/>
          <w:bCs/>
          <w:color w:val="auto"/>
          <w:sz w:val="32"/>
          <w:szCs w:val="32"/>
          <w:highlight w:val="none"/>
        </w:rPr>
        <w:t>项）</w:t>
      </w:r>
      <w:r>
        <w:rPr>
          <w:rStyle w:val="17"/>
          <w:rFonts w:ascii="仿宋" w:hAnsi="仿宋" w:eastAsia="仿宋"/>
          <w:bCs/>
          <w:color w:val="auto"/>
          <w:sz w:val="32"/>
          <w:szCs w:val="32"/>
          <w:highlight w:val="none"/>
        </w:rPr>
        <w:t>:</w:t>
      </w:r>
      <w:r>
        <w:rPr>
          <w:rStyle w:val="17"/>
          <w:rFonts w:ascii="仿宋" w:hAnsi="仿宋" w:eastAsia="仿宋"/>
          <w:b w:val="0"/>
          <w:bCs/>
          <w:color w:val="auto"/>
          <w:sz w:val="32"/>
          <w:szCs w:val="32"/>
          <w:highlight w:val="none"/>
        </w:rPr>
        <w:t xml:space="preserve"> </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228.39</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92.85</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w:t>
      </w:r>
      <w:r>
        <w:rPr>
          <w:rStyle w:val="17"/>
          <w:rFonts w:hint="eastAsia" w:ascii="仿宋" w:hAnsi="仿宋" w:eastAsia="仿宋"/>
          <w:b w:val="0"/>
          <w:bCs/>
          <w:color w:val="auto"/>
          <w:sz w:val="32"/>
          <w:szCs w:val="32"/>
          <w:highlight w:val="none"/>
          <w:lang w:val="en-US" w:eastAsia="zh-CN"/>
        </w:rPr>
        <w:t>小</w:t>
      </w:r>
      <w:r>
        <w:rPr>
          <w:rStyle w:val="17"/>
          <w:rFonts w:hint="eastAsia" w:ascii="仿宋" w:hAnsi="仿宋" w:eastAsia="仿宋"/>
          <w:b w:val="0"/>
          <w:bCs/>
          <w:color w:val="auto"/>
          <w:sz w:val="32"/>
          <w:szCs w:val="32"/>
          <w:highlight w:val="none"/>
        </w:rPr>
        <w:t>于预算数的主要原因是巴中市社区防疫报备系统</w:t>
      </w:r>
      <w:r>
        <w:rPr>
          <w:rStyle w:val="17"/>
          <w:rFonts w:hint="eastAsia" w:ascii="仿宋" w:hAnsi="仿宋" w:eastAsia="仿宋"/>
          <w:b w:val="0"/>
          <w:bCs/>
          <w:color w:val="auto"/>
          <w:sz w:val="32"/>
          <w:szCs w:val="32"/>
          <w:highlight w:val="none"/>
          <w:lang w:val="en-US" w:eastAsia="zh-CN"/>
        </w:rPr>
        <w:t>和数据共享开放能力提升技术支撑服务合同约定验收后支付尾款</w:t>
      </w:r>
      <w:r>
        <w:rPr>
          <w:rStyle w:val="17"/>
          <w:rFonts w:hint="eastAsia" w:ascii="仿宋" w:hAnsi="仿宋" w:eastAsia="仿宋"/>
          <w:b w:val="0"/>
          <w:bCs/>
          <w:color w:val="auto"/>
          <w:sz w:val="32"/>
          <w:szCs w:val="32"/>
          <w:highlight w:val="none"/>
        </w:rPr>
        <w:t>。</w:t>
      </w:r>
    </w:p>
    <w:p>
      <w:pPr>
        <w:spacing w:line="600" w:lineRule="exact"/>
        <w:ind w:firstLine="642" w:firstLineChars="200"/>
        <w:rPr>
          <w:rStyle w:val="17"/>
          <w:rFonts w:hint="eastAsia" w:ascii="仿宋" w:hAnsi="仿宋" w:eastAsia="仿宋"/>
          <w:b w:val="0"/>
          <w:bCs/>
          <w:color w:val="auto"/>
          <w:sz w:val="32"/>
          <w:szCs w:val="32"/>
          <w:highlight w:val="none"/>
        </w:rPr>
      </w:pPr>
      <w:r>
        <w:rPr>
          <w:rStyle w:val="17"/>
          <w:rFonts w:ascii="仿宋" w:hAnsi="仿宋" w:eastAsia="仿宋"/>
          <w:bCs/>
          <w:color w:val="auto"/>
          <w:sz w:val="32"/>
          <w:szCs w:val="32"/>
          <w:highlight w:val="none"/>
        </w:rPr>
        <w:t>5.</w:t>
      </w:r>
      <w:r>
        <w:rPr>
          <w:rStyle w:val="17"/>
          <w:rFonts w:hint="eastAsia" w:ascii="仿宋" w:hAnsi="仿宋" w:eastAsia="仿宋"/>
          <w:bCs/>
          <w:color w:val="auto"/>
          <w:sz w:val="32"/>
          <w:szCs w:val="32"/>
          <w:highlight w:val="none"/>
        </w:rPr>
        <w:t>社会保障和就业（类）</w:t>
      </w:r>
      <w:r>
        <w:rPr>
          <w:rStyle w:val="17"/>
          <w:rFonts w:hint="eastAsia" w:ascii="仿宋" w:hAnsi="仿宋" w:eastAsia="仿宋"/>
          <w:bCs/>
          <w:color w:val="auto"/>
          <w:sz w:val="32"/>
          <w:szCs w:val="32"/>
          <w:highlight w:val="none"/>
          <w:lang w:val="en-US" w:eastAsia="zh-CN"/>
        </w:rPr>
        <w:t>行政事业单位养老支出</w:t>
      </w:r>
      <w:r>
        <w:rPr>
          <w:rStyle w:val="17"/>
          <w:rFonts w:hint="eastAsia" w:ascii="仿宋" w:hAnsi="仿宋" w:eastAsia="仿宋"/>
          <w:bCs/>
          <w:color w:val="auto"/>
          <w:sz w:val="32"/>
          <w:szCs w:val="32"/>
          <w:highlight w:val="none"/>
        </w:rPr>
        <w:t>（款）</w:t>
      </w:r>
      <w:r>
        <w:rPr>
          <w:rStyle w:val="17"/>
          <w:rFonts w:hint="eastAsia" w:ascii="仿宋" w:hAnsi="仿宋" w:eastAsia="仿宋"/>
          <w:bCs/>
          <w:color w:val="auto"/>
          <w:sz w:val="32"/>
          <w:szCs w:val="32"/>
          <w:highlight w:val="none"/>
          <w:lang w:val="en-US" w:eastAsia="zh-CN"/>
        </w:rPr>
        <w:t>行政单位离退休</w:t>
      </w:r>
      <w:r>
        <w:rPr>
          <w:rStyle w:val="17"/>
          <w:rFonts w:hint="eastAsia" w:ascii="仿宋" w:hAnsi="仿宋" w:eastAsia="仿宋"/>
          <w:bCs/>
          <w:color w:val="auto"/>
          <w:sz w:val="32"/>
          <w:szCs w:val="32"/>
          <w:highlight w:val="none"/>
        </w:rPr>
        <w:t>（项）</w:t>
      </w:r>
      <w:r>
        <w:rPr>
          <w:rStyle w:val="17"/>
          <w:rFonts w:ascii="仿宋" w:hAnsi="仿宋" w:eastAsia="仿宋"/>
          <w:bCs/>
          <w:color w:val="auto"/>
          <w:sz w:val="32"/>
          <w:szCs w:val="32"/>
          <w:highlight w:val="none"/>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1.26</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w:t>
      </w:r>
      <w:r>
        <w:rPr>
          <w:rStyle w:val="17"/>
          <w:rFonts w:hint="eastAsia" w:ascii="仿宋" w:hAnsi="仿宋" w:eastAsia="仿宋"/>
          <w:b w:val="0"/>
          <w:bCs/>
          <w:color w:val="auto"/>
          <w:sz w:val="32"/>
          <w:szCs w:val="32"/>
          <w:highlight w:val="none"/>
          <w:lang w:val="en-US" w:eastAsia="zh-CN"/>
        </w:rPr>
        <w:t>等于</w:t>
      </w:r>
      <w:r>
        <w:rPr>
          <w:rStyle w:val="17"/>
          <w:rFonts w:hint="eastAsia" w:ascii="仿宋" w:hAnsi="仿宋" w:eastAsia="仿宋"/>
          <w:b w:val="0"/>
          <w:bCs/>
          <w:color w:val="auto"/>
          <w:sz w:val="32"/>
          <w:szCs w:val="32"/>
          <w:highlight w:val="none"/>
        </w:rPr>
        <w:t>预算数。</w:t>
      </w:r>
    </w:p>
    <w:p>
      <w:pPr>
        <w:spacing w:line="600" w:lineRule="exact"/>
        <w:ind w:firstLine="642" w:firstLineChars="200"/>
        <w:rPr>
          <w:rStyle w:val="17"/>
          <w:rFonts w:hint="eastAsia" w:ascii="仿宋" w:hAnsi="仿宋" w:eastAsia="仿宋"/>
          <w:b w:val="0"/>
          <w:bCs/>
          <w:color w:val="auto"/>
          <w:sz w:val="32"/>
          <w:szCs w:val="32"/>
          <w:highlight w:val="none"/>
        </w:rPr>
      </w:pPr>
      <w:r>
        <w:rPr>
          <w:rStyle w:val="17"/>
          <w:rFonts w:hint="eastAsia" w:ascii="仿宋" w:hAnsi="仿宋" w:eastAsia="仿宋"/>
          <w:bCs/>
          <w:color w:val="auto"/>
          <w:sz w:val="32"/>
          <w:szCs w:val="32"/>
          <w:highlight w:val="none"/>
          <w:lang w:val="en-US" w:eastAsia="zh-CN"/>
        </w:rPr>
        <w:t>6</w:t>
      </w:r>
      <w:r>
        <w:rPr>
          <w:rStyle w:val="17"/>
          <w:rFonts w:ascii="仿宋" w:hAnsi="仿宋" w:eastAsia="仿宋"/>
          <w:bCs/>
          <w:color w:val="auto"/>
          <w:sz w:val="32"/>
          <w:szCs w:val="32"/>
          <w:highlight w:val="none"/>
        </w:rPr>
        <w:t>.</w:t>
      </w:r>
      <w:r>
        <w:rPr>
          <w:rStyle w:val="17"/>
          <w:rFonts w:hint="eastAsia" w:ascii="仿宋" w:hAnsi="仿宋" w:eastAsia="仿宋"/>
          <w:bCs/>
          <w:color w:val="auto"/>
          <w:sz w:val="32"/>
          <w:szCs w:val="32"/>
          <w:highlight w:val="none"/>
        </w:rPr>
        <w:t>社会保障和就业（类）</w:t>
      </w:r>
      <w:r>
        <w:rPr>
          <w:rStyle w:val="17"/>
          <w:rFonts w:hint="eastAsia" w:ascii="仿宋" w:hAnsi="仿宋" w:eastAsia="仿宋"/>
          <w:bCs/>
          <w:color w:val="auto"/>
          <w:sz w:val="32"/>
          <w:szCs w:val="32"/>
          <w:highlight w:val="none"/>
          <w:lang w:val="en-US" w:eastAsia="zh-CN"/>
        </w:rPr>
        <w:t>行政事业单位养老支出</w:t>
      </w:r>
      <w:r>
        <w:rPr>
          <w:rStyle w:val="17"/>
          <w:rFonts w:hint="eastAsia" w:ascii="仿宋" w:hAnsi="仿宋" w:eastAsia="仿宋"/>
          <w:bCs/>
          <w:color w:val="auto"/>
          <w:sz w:val="32"/>
          <w:szCs w:val="32"/>
          <w:highlight w:val="none"/>
        </w:rPr>
        <w:t>（款）</w:t>
      </w:r>
      <w:r>
        <w:rPr>
          <w:rStyle w:val="17"/>
          <w:rFonts w:hint="eastAsia" w:ascii="仿宋" w:hAnsi="仿宋" w:eastAsia="仿宋"/>
          <w:bCs/>
          <w:color w:val="auto"/>
          <w:sz w:val="32"/>
          <w:szCs w:val="32"/>
          <w:highlight w:val="none"/>
          <w:lang w:val="en-US" w:eastAsia="zh-CN"/>
        </w:rPr>
        <w:t>机关事业单位基本养老保险缴费支出</w:t>
      </w:r>
      <w:r>
        <w:rPr>
          <w:rStyle w:val="17"/>
          <w:rFonts w:hint="eastAsia" w:ascii="仿宋" w:hAnsi="仿宋" w:eastAsia="仿宋"/>
          <w:bCs/>
          <w:color w:val="auto"/>
          <w:sz w:val="32"/>
          <w:szCs w:val="32"/>
          <w:highlight w:val="none"/>
        </w:rPr>
        <w:t>（项）</w:t>
      </w:r>
      <w:r>
        <w:rPr>
          <w:rStyle w:val="17"/>
          <w:rFonts w:ascii="仿宋" w:hAnsi="仿宋" w:eastAsia="仿宋"/>
          <w:bCs/>
          <w:color w:val="auto"/>
          <w:sz w:val="32"/>
          <w:szCs w:val="32"/>
          <w:highlight w:val="none"/>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26.12</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w:t>
      </w:r>
      <w:r>
        <w:rPr>
          <w:rStyle w:val="17"/>
          <w:rFonts w:hint="eastAsia" w:ascii="仿宋" w:hAnsi="仿宋" w:eastAsia="仿宋"/>
          <w:b w:val="0"/>
          <w:bCs/>
          <w:color w:val="auto"/>
          <w:sz w:val="32"/>
          <w:szCs w:val="32"/>
          <w:highlight w:val="none"/>
          <w:lang w:val="en-US" w:eastAsia="zh-CN"/>
        </w:rPr>
        <w:t>等于</w:t>
      </w:r>
      <w:r>
        <w:rPr>
          <w:rStyle w:val="17"/>
          <w:rFonts w:hint="eastAsia" w:ascii="仿宋" w:hAnsi="仿宋" w:eastAsia="仿宋"/>
          <w:b w:val="0"/>
          <w:bCs/>
          <w:color w:val="auto"/>
          <w:sz w:val="32"/>
          <w:szCs w:val="32"/>
          <w:highlight w:val="none"/>
        </w:rPr>
        <w:t>预算数。</w:t>
      </w:r>
    </w:p>
    <w:p>
      <w:pPr>
        <w:spacing w:line="600" w:lineRule="exact"/>
        <w:ind w:firstLine="642" w:firstLineChars="200"/>
        <w:rPr>
          <w:rFonts w:ascii="仿宋" w:hAnsi="仿宋" w:eastAsia="仿宋"/>
          <w:b/>
          <w:color w:val="auto"/>
          <w:sz w:val="32"/>
          <w:szCs w:val="32"/>
          <w:highlight w:val="none"/>
        </w:rPr>
      </w:pPr>
      <w:r>
        <w:rPr>
          <w:rStyle w:val="17"/>
          <w:rFonts w:hint="eastAsia" w:ascii="仿宋" w:hAnsi="仿宋" w:eastAsia="仿宋"/>
          <w:bCs/>
          <w:color w:val="auto"/>
          <w:sz w:val="32"/>
          <w:szCs w:val="32"/>
          <w:highlight w:val="none"/>
          <w:lang w:val="en-US" w:eastAsia="zh-CN"/>
        </w:rPr>
        <w:t>7</w:t>
      </w:r>
      <w:r>
        <w:rPr>
          <w:rStyle w:val="17"/>
          <w:rFonts w:ascii="仿宋" w:hAnsi="仿宋" w:eastAsia="仿宋"/>
          <w:bCs/>
          <w:color w:val="auto"/>
          <w:sz w:val="32"/>
          <w:szCs w:val="32"/>
          <w:highlight w:val="none"/>
        </w:rPr>
        <w:t>.</w:t>
      </w:r>
      <w:r>
        <w:rPr>
          <w:rStyle w:val="17"/>
          <w:rFonts w:hint="eastAsia" w:ascii="仿宋" w:hAnsi="仿宋" w:eastAsia="仿宋"/>
          <w:bCs/>
          <w:color w:val="auto"/>
          <w:sz w:val="32"/>
          <w:szCs w:val="32"/>
          <w:highlight w:val="none"/>
        </w:rPr>
        <w:t>社会保障和就业（类）</w:t>
      </w:r>
      <w:r>
        <w:rPr>
          <w:rStyle w:val="17"/>
          <w:rFonts w:hint="eastAsia" w:ascii="仿宋" w:hAnsi="仿宋" w:eastAsia="仿宋"/>
          <w:bCs/>
          <w:color w:val="auto"/>
          <w:sz w:val="32"/>
          <w:szCs w:val="32"/>
          <w:highlight w:val="none"/>
          <w:lang w:val="en-US" w:eastAsia="zh-CN"/>
        </w:rPr>
        <w:t>行政事业单位养老支出</w:t>
      </w:r>
      <w:r>
        <w:rPr>
          <w:rStyle w:val="17"/>
          <w:rFonts w:hint="eastAsia" w:ascii="仿宋" w:hAnsi="仿宋" w:eastAsia="仿宋"/>
          <w:bCs/>
          <w:color w:val="auto"/>
          <w:sz w:val="32"/>
          <w:szCs w:val="32"/>
          <w:highlight w:val="none"/>
        </w:rPr>
        <w:t>（款）</w:t>
      </w:r>
      <w:r>
        <w:rPr>
          <w:rStyle w:val="17"/>
          <w:rFonts w:hint="eastAsia" w:ascii="仿宋" w:hAnsi="仿宋" w:eastAsia="仿宋"/>
          <w:bCs/>
          <w:color w:val="auto"/>
          <w:sz w:val="32"/>
          <w:szCs w:val="32"/>
          <w:highlight w:val="none"/>
          <w:lang w:val="en-US" w:eastAsia="zh-CN"/>
        </w:rPr>
        <w:t>其他行政事业单位养老支出</w:t>
      </w:r>
      <w:r>
        <w:rPr>
          <w:rStyle w:val="17"/>
          <w:rFonts w:hint="eastAsia" w:ascii="仿宋" w:hAnsi="仿宋" w:eastAsia="仿宋"/>
          <w:bCs/>
          <w:color w:val="auto"/>
          <w:sz w:val="32"/>
          <w:szCs w:val="32"/>
          <w:highlight w:val="none"/>
        </w:rPr>
        <w:t>（项）</w:t>
      </w:r>
      <w:r>
        <w:rPr>
          <w:rStyle w:val="17"/>
          <w:rFonts w:ascii="仿宋" w:hAnsi="仿宋" w:eastAsia="仿宋"/>
          <w:bCs/>
          <w:color w:val="auto"/>
          <w:sz w:val="32"/>
          <w:szCs w:val="32"/>
          <w:highlight w:val="none"/>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0.05</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45.45</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w:t>
      </w:r>
      <w:r>
        <w:rPr>
          <w:rStyle w:val="17"/>
          <w:rFonts w:hint="eastAsia" w:ascii="仿宋" w:hAnsi="仿宋" w:eastAsia="仿宋"/>
          <w:b w:val="0"/>
          <w:bCs/>
          <w:color w:val="auto"/>
          <w:sz w:val="32"/>
          <w:szCs w:val="32"/>
          <w:highlight w:val="none"/>
          <w:lang w:val="en-US" w:eastAsia="zh-CN"/>
        </w:rPr>
        <w:t>等于</w:t>
      </w:r>
      <w:r>
        <w:rPr>
          <w:rStyle w:val="17"/>
          <w:rFonts w:hint="eastAsia" w:ascii="仿宋" w:hAnsi="仿宋" w:eastAsia="仿宋"/>
          <w:b w:val="0"/>
          <w:bCs/>
          <w:color w:val="auto"/>
          <w:sz w:val="32"/>
          <w:szCs w:val="32"/>
          <w:highlight w:val="none"/>
        </w:rPr>
        <w:t>预算数。</w:t>
      </w:r>
    </w:p>
    <w:p>
      <w:pPr>
        <w:spacing w:line="600" w:lineRule="exact"/>
        <w:ind w:firstLine="642" w:firstLineChars="200"/>
        <w:rPr>
          <w:rStyle w:val="17"/>
          <w:rFonts w:hint="eastAsia" w:ascii="仿宋" w:hAnsi="仿宋" w:eastAsia="仿宋"/>
          <w:b w:val="0"/>
          <w:bCs/>
          <w:color w:val="auto"/>
          <w:sz w:val="32"/>
          <w:szCs w:val="32"/>
          <w:highlight w:val="none"/>
        </w:rPr>
      </w:pPr>
      <w:r>
        <w:rPr>
          <w:rStyle w:val="17"/>
          <w:rFonts w:hint="eastAsia" w:ascii="仿宋" w:hAnsi="仿宋" w:eastAsia="仿宋"/>
          <w:bCs/>
          <w:color w:val="auto"/>
          <w:sz w:val="32"/>
          <w:szCs w:val="32"/>
          <w:highlight w:val="none"/>
          <w:lang w:val="en-US" w:eastAsia="zh-CN"/>
        </w:rPr>
        <w:t>8</w:t>
      </w:r>
      <w:r>
        <w:rPr>
          <w:rStyle w:val="17"/>
          <w:rFonts w:ascii="仿宋" w:hAnsi="仿宋" w:eastAsia="仿宋"/>
          <w:bCs/>
          <w:color w:val="auto"/>
          <w:sz w:val="32"/>
          <w:szCs w:val="32"/>
          <w:highlight w:val="none"/>
        </w:rPr>
        <w:t>.</w:t>
      </w:r>
      <w:r>
        <w:rPr>
          <w:rStyle w:val="17"/>
          <w:rFonts w:hint="eastAsia" w:ascii="仿宋" w:hAnsi="仿宋" w:eastAsia="仿宋"/>
          <w:bCs/>
          <w:color w:val="auto"/>
          <w:sz w:val="32"/>
          <w:szCs w:val="32"/>
          <w:highlight w:val="none"/>
        </w:rPr>
        <w:t>社会保障和就业（类）</w:t>
      </w:r>
      <w:r>
        <w:rPr>
          <w:rStyle w:val="17"/>
          <w:rFonts w:hint="eastAsia" w:ascii="仿宋" w:hAnsi="仿宋" w:eastAsia="仿宋"/>
          <w:bCs/>
          <w:color w:val="auto"/>
          <w:sz w:val="32"/>
          <w:szCs w:val="32"/>
          <w:highlight w:val="none"/>
          <w:lang w:val="en-US" w:eastAsia="zh-CN"/>
        </w:rPr>
        <w:t>其他社会保障和就业支出</w:t>
      </w:r>
      <w:r>
        <w:rPr>
          <w:rStyle w:val="17"/>
          <w:rFonts w:hint="eastAsia" w:ascii="仿宋" w:hAnsi="仿宋" w:eastAsia="仿宋"/>
          <w:bCs/>
          <w:color w:val="auto"/>
          <w:sz w:val="32"/>
          <w:szCs w:val="32"/>
          <w:highlight w:val="none"/>
        </w:rPr>
        <w:t>（款）</w:t>
      </w:r>
      <w:r>
        <w:rPr>
          <w:rStyle w:val="17"/>
          <w:rFonts w:hint="eastAsia" w:ascii="仿宋" w:hAnsi="仿宋" w:eastAsia="仿宋"/>
          <w:bCs/>
          <w:color w:val="auto"/>
          <w:sz w:val="32"/>
          <w:szCs w:val="32"/>
          <w:highlight w:val="none"/>
          <w:lang w:val="en-US" w:eastAsia="zh-CN"/>
        </w:rPr>
        <w:t>其他社会保障和就业支出</w:t>
      </w:r>
      <w:r>
        <w:rPr>
          <w:rStyle w:val="17"/>
          <w:rFonts w:hint="eastAsia" w:ascii="仿宋" w:hAnsi="仿宋" w:eastAsia="仿宋"/>
          <w:bCs/>
          <w:color w:val="auto"/>
          <w:sz w:val="32"/>
          <w:szCs w:val="32"/>
          <w:highlight w:val="none"/>
        </w:rPr>
        <w:t>（项）</w:t>
      </w:r>
      <w:r>
        <w:rPr>
          <w:rStyle w:val="17"/>
          <w:rFonts w:ascii="仿宋" w:hAnsi="仿宋" w:eastAsia="仿宋"/>
          <w:bCs/>
          <w:color w:val="auto"/>
          <w:sz w:val="32"/>
          <w:szCs w:val="32"/>
          <w:highlight w:val="none"/>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0.27</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w:t>
      </w:r>
      <w:r>
        <w:rPr>
          <w:rStyle w:val="17"/>
          <w:rFonts w:hint="eastAsia" w:ascii="仿宋" w:hAnsi="仿宋" w:eastAsia="仿宋"/>
          <w:b w:val="0"/>
          <w:bCs/>
          <w:color w:val="auto"/>
          <w:sz w:val="32"/>
          <w:szCs w:val="32"/>
          <w:highlight w:val="none"/>
          <w:lang w:val="en-US" w:eastAsia="zh-CN"/>
        </w:rPr>
        <w:t>等于</w:t>
      </w:r>
      <w:r>
        <w:rPr>
          <w:rStyle w:val="17"/>
          <w:rFonts w:hint="eastAsia" w:ascii="仿宋" w:hAnsi="仿宋" w:eastAsia="仿宋"/>
          <w:b w:val="0"/>
          <w:bCs/>
          <w:color w:val="auto"/>
          <w:sz w:val="32"/>
          <w:szCs w:val="32"/>
          <w:highlight w:val="none"/>
        </w:rPr>
        <w:t>预算数。</w:t>
      </w:r>
    </w:p>
    <w:p>
      <w:pPr>
        <w:spacing w:line="600" w:lineRule="exact"/>
        <w:ind w:firstLine="642" w:firstLineChars="200"/>
        <w:rPr>
          <w:rStyle w:val="17"/>
          <w:rFonts w:hint="eastAsia" w:ascii="仿宋" w:hAnsi="仿宋" w:eastAsia="仿宋"/>
          <w:b w:val="0"/>
          <w:bCs/>
          <w:color w:val="auto"/>
          <w:sz w:val="32"/>
          <w:szCs w:val="32"/>
          <w:highlight w:val="none"/>
        </w:rPr>
      </w:pPr>
      <w:r>
        <w:rPr>
          <w:rStyle w:val="17"/>
          <w:rFonts w:hint="eastAsia" w:ascii="仿宋" w:hAnsi="仿宋" w:eastAsia="仿宋"/>
          <w:bCs/>
          <w:color w:val="auto"/>
          <w:sz w:val="32"/>
          <w:szCs w:val="32"/>
          <w:highlight w:val="none"/>
          <w:lang w:val="en-US" w:eastAsia="zh-CN"/>
        </w:rPr>
        <w:t>9</w:t>
      </w:r>
      <w:r>
        <w:rPr>
          <w:rStyle w:val="17"/>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Style w:val="17"/>
          <w:rFonts w:hint="eastAsia" w:ascii="仿宋" w:hAnsi="仿宋" w:eastAsia="仿宋"/>
          <w:bCs/>
          <w:color w:val="auto"/>
          <w:sz w:val="32"/>
          <w:szCs w:val="32"/>
          <w:highlight w:val="none"/>
        </w:rPr>
        <w:t>（类）</w:t>
      </w:r>
      <w:r>
        <w:rPr>
          <w:rStyle w:val="17"/>
          <w:rFonts w:hint="eastAsia" w:ascii="仿宋" w:hAnsi="仿宋" w:eastAsia="仿宋"/>
          <w:bCs/>
          <w:color w:val="auto"/>
          <w:sz w:val="32"/>
          <w:szCs w:val="32"/>
          <w:highlight w:val="none"/>
          <w:lang w:val="en-US" w:eastAsia="zh-CN"/>
        </w:rPr>
        <w:t>行政事业单位医疗</w:t>
      </w:r>
      <w:r>
        <w:rPr>
          <w:rStyle w:val="17"/>
          <w:rFonts w:hint="eastAsia" w:ascii="仿宋" w:hAnsi="仿宋" w:eastAsia="仿宋"/>
          <w:bCs/>
          <w:color w:val="auto"/>
          <w:sz w:val="32"/>
          <w:szCs w:val="32"/>
          <w:highlight w:val="none"/>
        </w:rPr>
        <w:t>（款）</w:t>
      </w:r>
      <w:r>
        <w:rPr>
          <w:rStyle w:val="17"/>
          <w:rFonts w:hint="eastAsia" w:ascii="仿宋" w:hAnsi="仿宋" w:eastAsia="仿宋"/>
          <w:bCs/>
          <w:color w:val="auto"/>
          <w:sz w:val="32"/>
          <w:szCs w:val="32"/>
          <w:highlight w:val="none"/>
          <w:lang w:val="en-US" w:eastAsia="zh-CN"/>
        </w:rPr>
        <w:t>行政单位医疗</w:t>
      </w:r>
      <w:r>
        <w:rPr>
          <w:rStyle w:val="17"/>
          <w:rFonts w:hint="eastAsia" w:ascii="仿宋" w:hAnsi="仿宋" w:eastAsia="仿宋"/>
          <w:bCs/>
          <w:color w:val="auto"/>
          <w:sz w:val="32"/>
          <w:szCs w:val="32"/>
          <w:highlight w:val="none"/>
        </w:rPr>
        <w:t>（项）</w:t>
      </w:r>
      <w:r>
        <w:rPr>
          <w:rStyle w:val="17"/>
          <w:rFonts w:ascii="仿宋" w:hAnsi="仿宋" w:eastAsia="仿宋"/>
          <w:bCs/>
          <w:color w:val="auto"/>
          <w:sz w:val="32"/>
          <w:szCs w:val="32"/>
          <w:highlight w:val="none"/>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9.81</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w:t>
      </w:r>
      <w:r>
        <w:rPr>
          <w:rStyle w:val="17"/>
          <w:rFonts w:hint="eastAsia" w:ascii="仿宋" w:hAnsi="仿宋" w:eastAsia="仿宋"/>
          <w:b w:val="0"/>
          <w:bCs/>
          <w:color w:val="auto"/>
          <w:sz w:val="32"/>
          <w:szCs w:val="32"/>
          <w:highlight w:val="none"/>
          <w:lang w:val="en-US" w:eastAsia="zh-CN"/>
        </w:rPr>
        <w:t>等于</w:t>
      </w:r>
      <w:r>
        <w:rPr>
          <w:rStyle w:val="17"/>
          <w:rFonts w:hint="eastAsia" w:ascii="仿宋" w:hAnsi="仿宋" w:eastAsia="仿宋"/>
          <w:b w:val="0"/>
          <w:bCs/>
          <w:color w:val="auto"/>
          <w:sz w:val="32"/>
          <w:szCs w:val="32"/>
          <w:highlight w:val="none"/>
        </w:rPr>
        <w:t>预算数。</w:t>
      </w:r>
    </w:p>
    <w:p>
      <w:pPr>
        <w:spacing w:line="600" w:lineRule="exact"/>
        <w:ind w:firstLine="640" w:firstLineChars="200"/>
        <w:rPr>
          <w:rFonts w:ascii="仿宋" w:hAnsi="仿宋" w:eastAsia="仿宋"/>
          <w:b/>
          <w:color w:val="auto"/>
          <w:sz w:val="32"/>
          <w:szCs w:val="32"/>
          <w:highlight w:val="none"/>
        </w:rPr>
      </w:pPr>
      <w:r>
        <w:rPr>
          <w:rStyle w:val="17"/>
          <w:rFonts w:hint="eastAsia" w:ascii="仿宋" w:hAnsi="仿宋" w:eastAsia="仿宋"/>
          <w:b w:val="0"/>
          <w:bCs/>
          <w:color w:val="auto"/>
          <w:sz w:val="32"/>
          <w:szCs w:val="32"/>
          <w:highlight w:val="none"/>
          <w:lang w:val="en-US" w:eastAsia="zh-CN"/>
        </w:rPr>
        <w:t>10.</w:t>
      </w:r>
      <w:r>
        <w:rPr>
          <w:rFonts w:hint="eastAsia" w:ascii="仿宋" w:hAnsi="仿宋" w:eastAsia="仿宋"/>
          <w:b/>
          <w:bCs/>
          <w:color w:val="auto"/>
          <w:sz w:val="32"/>
          <w:szCs w:val="32"/>
          <w:highlight w:val="none"/>
        </w:rPr>
        <w:t>卫生健康</w:t>
      </w:r>
      <w:r>
        <w:rPr>
          <w:rStyle w:val="17"/>
          <w:rFonts w:hint="eastAsia" w:ascii="仿宋" w:hAnsi="仿宋" w:eastAsia="仿宋"/>
          <w:bCs/>
          <w:color w:val="auto"/>
          <w:sz w:val="32"/>
          <w:szCs w:val="32"/>
          <w:highlight w:val="none"/>
        </w:rPr>
        <w:t>（类）</w:t>
      </w:r>
      <w:r>
        <w:rPr>
          <w:rStyle w:val="17"/>
          <w:rFonts w:hint="eastAsia" w:ascii="仿宋" w:hAnsi="仿宋" w:eastAsia="仿宋"/>
          <w:bCs/>
          <w:color w:val="auto"/>
          <w:sz w:val="32"/>
          <w:szCs w:val="32"/>
          <w:highlight w:val="none"/>
          <w:lang w:val="en-US" w:eastAsia="zh-CN"/>
        </w:rPr>
        <w:t>行政事业单位医疗</w:t>
      </w:r>
      <w:r>
        <w:rPr>
          <w:rStyle w:val="17"/>
          <w:rFonts w:hint="eastAsia" w:ascii="仿宋" w:hAnsi="仿宋" w:eastAsia="仿宋"/>
          <w:bCs/>
          <w:color w:val="auto"/>
          <w:sz w:val="32"/>
          <w:szCs w:val="32"/>
          <w:highlight w:val="none"/>
        </w:rPr>
        <w:t>（款）</w:t>
      </w:r>
      <w:r>
        <w:rPr>
          <w:rStyle w:val="17"/>
          <w:rFonts w:hint="eastAsia" w:ascii="仿宋" w:hAnsi="仿宋" w:eastAsia="仿宋"/>
          <w:bCs/>
          <w:color w:val="auto"/>
          <w:sz w:val="32"/>
          <w:szCs w:val="32"/>
          <w:highlight w:val="none"/>
          <w:lang w:val="en-US" w:eastAsia="zh-CN"/>
        </w:rPr>
        <w:t>事业单位医疗</w:t>
      </w:r>
      <w:r>
        <w:rPr>
          <w:rStyle w:val="17"/>
          <w:rFonts w:hint="eastAsia" w:ascii="仿宋" w:hAnsi="仿宋" w:eastAsia="仿宋"/>
          <w:bCs/>
          <w:color w:val="auto"/>
          <w:sz w:val="32"/>
          <w:szCs w:val="32"/>
          <w:highlight w:val="none"/>
        </w:rPr>
        <w:t>（项）</w:t>
      </w:r>
      <w:r>
        <w:rPr>
          <w:rStyle w:val="17"/>
          <w:rFonts w:ascii="仿宋" w:hAnsi="仿宋" w:eastAsia="仿宋"/>
          <w:bCs/>
          <w:color w:val="auto"/>
          <w:sz w:val="32"/>
          <w:szCs w:val="32"/>
          <w:highlight w:val="none"/>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5.57</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w:t>
      </w:r>
      <w:r>
        <w:rPr>
          <w:rStyle w:val="17"/>
          <w:rFonts w:hint="eastAsia" w:ascii="仿宋" w:hAnsi="仿宋" w:eastAsia="仿宋"/>
          <w:b w:val="0"/>
          <w:bCs/>
          <w:color w:val="auto"/>
          <w:sz w:val="32"/>
          <w:szCs w:val="32"/>
          <w:highlight w:val="none"/>
          <w:lang w:val="en-US" w:eastAsia="zh-CN"/>
        </w:rPr>
        <w:t>等于</w:t>
      </w:r>
      <w:r>
        <w:rPr>
          <w:rStyle w:val="17"/>
          <w:rFonts w:hint="eastAsia" w:ascii="仿宋" w:hAnsi="仿宋" w:eastAsia="仿宋"/>
          <w:b w:val="0"/>
          <w:bCs/>
          <w:color w:val="auto"/>
          <w:sz w:val="32"/>
          <w:szCs w:val="32"/>
          <w:highlight w:val="none"/>
        </w:rPr>
        <w:t>预算数。</w:t>
      </w:r>
    </w:p>
    <w:p>
      <w:pPr>
        <w:spacing w:line="600" w:lineRule="exact"/>
        <w:ind w:firstLine="642" w:firstLineChars="200"/>
        <w:rPr>
          <w:rFonts w:ascii="仿宋" w:hAnsi="仿宋" w:eastAsia="仿宋"/>
          <w:b/>
          <w:color w:val="auto"/>
          <w:sz w:val="32"/>
          <w:szCs w:val="32"/>
          <w:highlight w:val="none"/>
        </w:rPr>
      </w:pPr>
      <w:r>
        <w:rPr>
          <w:rFonts w:hint="eastAsia" w:ascii="仿宋" w:hAnsi="仿宋" w:eastAsia="仿宋"/>
          <w:b/>
          <w:bCs/>
          <w:color w:val="auto"/>
          <w:sz w:val="32"/>
          <w:szCs w:val="32"/>
          <w:highlight w:val="none"/>
          <w:lang w:val="en-US" w:eastAsia="zh-CN"/>
        </w:rPr>
        <w:t>11.</w:t>
      </w:r>
      <w:r>
        <w:rPr>
          <w:rFonts w:hint="eastAsia" w:ascii="仿宋" w:hAnsi="仿宋" w:eastAsia="仿宋"/>
          <w:b/>
          <w:bCs/>
          <w:color w:val="auto"/>
          <w:sz w:val="32"/>
          <w:szCs w:val="32"/>
          <w:highlight w:val="none"/>
        </w:rPr>
        <w:t>卫生健康</w:t>
      </w:r>
      <w:r>
        <w:rPr>
          <w:rStyle w:val="17"/>
          <w:rFonts w:hint="eastAsia" w:ascii="仿宋" w:hAnsi="仿宋" w:eastAsia="仿宋"/>
          <w:bCs/>
          <w:color w:val="auto"/>
          <w:sz w:val="32"/>
          <w:szCs w:val="32"/>
          <w:highlight w:val="none"/>
        </w:rPr>
        <w:t>（类）</w:t>
      </w:r>
      <w:r>
        <w:rPr>
          <w:rStyle w:val="17"/>
          <w:rFonts w:hint="eastAsia" w:ascii="仿宋" w:hAnsi="仿宋" w:eastAsia="仿宋"/>
          <w:bCs/>
          <w:color w:val="auto"/>
          <w:sz w:val="32"/>
          <w:szCs w:val="32"/>
          <w:highlight w:val="none"/>
          <w:lang w:val="en-US" w:eastAsia="zh-CN"/>
        </w:rPr>
        <w:t>行政事业单位医疗</w:t>
      </w:r>
      <w:r>
        <w:rPr>
          <w:rStyle w:val="17"/>
          <w:rFonts w:hint="eastAsia" w:ascii="仿宋" w:hAnsi="仿宋" w:eastAsia="仿宋"/>
          <w:bCs/>
          <w:color w:val="auto"/>
          <w:sz w:val="32"/>
          <w:szCs w:val="32"/>
          <w:highlight w:val="none"/>
        </w:rPr>
        <w:t>（款）</w:t>
      </w:r>
      <w:r>
        <w:rPr>
          <w:rStyle w:val="17"/>
          <w:rFonts w:hint="eastAsia" w:ascii="仿宋" w:hAnsi="仿宋" w:eastAsia="仿宋"/>
          <w:bCs/>
          <w:color w:val="auto"/>
          <w:sz w:val="32"/>
          <w:szCs w:val="32"/>
          <w:highlight w:val="none"/>
          <w:lang w:val="en-US" w:eastAsia="zh-CN"/>
        </w:rPr>
        <w:t>公务员医疗补助</w:t>
      </w:r>
      <w:r>
        <w:rPr>
          <w:rStyle w:val="17"/>
          <w:rFonts w:hint="eastAsia" w:ascii="仿宋" w:hAnsi="仿宋" w:eastAsia="仿宋"/>
          <w:bCs/>
          <w:color w:val="auto"/>
          <w:sz w:val="32"/>
          <w:szCs w:val="32"/>
          <w:highlight w:val="none"/>
        </w:rPr>
        <w:t>（项）</w:t>
      </w:r>
      <w:r>
        <w:rPr>
          <w:rStyle w:val="17"/>
          <w:rFonts w:ascii="仿宋" w:hAnsi="仿宋" w:eastAsia="仿宋"/>
          <w:bCs/>
          <w:color w:val="auto"/>
          <w:sz w:val="32"/>
          <w:szCs w:val="32"/>
          <w:highlight w:val="none"/>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2.06</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w:t>
      </w:r>
      <w:r>
        <w:rPr>
          <w:rStyle w:val="17"/>
          <w:rFonts w:hint="eastAsia" w:ascii="仿宋" w:hAnsi="仿宋" w:eastAsia="仿宋"/>
          <w:b w:val="0"/>
          <w:bCs/>
          <w:color w:val="auto"/>
          <w:sz w:val="32"/>
          <w:szCs w:val="32"/>
          <w:highlight w:val="none"/>
          <w:lang w:val="en-US" w:eastAsia="zh-CN"/>
        </w:rPr>
        <w:t>等于</w:t>
      </w:r>
      <w:r>
        <w:rPr>
          <w:rStyle w:val="17"/>
          <w:rFonts w:hint="eastAsia" w:ascii="仿宋" w:hAnsi="仿宋" w:eastAsia="仿宋"/>
          <w:b w:val="0"/>
          <w:bCs/>
          <w:color w:val="auto"/>
          <w:sz w:val="32"/>
          <w:szCs w:val="32"/>
          <w:highlight w:val="none"/>
        </w:rPr>
        <w:t>预算数。</w:t>
      </w:r>
    </w:p>
    <w:p>
      <w:pPr>
        <w:spacing w:line="600" w:lineRule="exact"/>
        <w:ind w:firstLine="642" w:firstLineChars="200"/>
        <w:rPr>
          <w:rStyle w:val="17"/>
          <w:rFonts w:hint="eastAsia" w:ascii="仿宋" w:hAnsi="仿宋" w:eastAsia="仿宋"/>
          <w:b w:val="0"/>
          <w:bCs/>
          <w:color w:val="auto"/>
          <w:sz w:val="32"/>
          <w:szCs w:val="32"/>
          <w:highlight w:val="none"/>
        </w:rPr>
      </w:pPr>
      <w:r>
        <w:rPr>
          <w:rFonts w:hint="eastAsia" w:ascii="仿宋" w:hAnsi="仿宋" w:eastAsia="仿宋"/>
          <w:b/>
          <w:bCs/>
          <w:color w:val="auto"/>
          <w:sz w:val="32"/>
          <w:szCs w:val="32"/>
          <w:highlight w:val="none"/>
          <w:lang w:val="en-US" w:eastAsia="zh-CN"/>
        </w:rPr>
        <w:t>12.</w:t>
      </w:r>
      <w:r>
        <w:rPr>
          <w:rFonts w:hint="eastAsia" w:ascii="仿宋" w:hAnsi="仿宋" w:eastAsia="仿宋"/>
          <w:b/>
          <w:bCs/>
          <w:color w:val="auto"/>
          <w:sz w:val="32"/>
          <w:szCs w:val="32"/>
          <w:highlight w:val="none"/>
        </w:rPr>
        <w:t>卫生健康</w:t>
      </w:r>
      <w:r>
        <w:rPr>
          <w:rStyle w:val="17"/>
          <w:rFonts w:hint="eastAsia" w:ascii="仿宋" w:hAnsi="仿宋" w:eastAsia="仿宋"/>
          <w:bCs/>
          <w:color w:val="auto"/>
          <w:sz w:val="32"/>
          <w:szCs w:val="32"/>
          <w:highlight w:val="none"/>
        </w:rPr>
        <w:t>（类）</w:t>
      </w:r>
      <w:r>
        <w:rPr>
          <w:rStyle w:val="17"/>
          <w:rFonts w:hint="eastAsia" w:ascii="仿宋" w:hAnsi="仿宋" w:eastAsia="仿宋"/>
          <w:bCs/>
          <w:color w:val="auto"/>
          <w:sz w:val="32"/>
          <w:szCs w:val="32"/>
          <w:highlight w:val="none"/>
          <w:lang w:val="en-US" w:eastAsia="zh-CN"/>
        </w:rPr>
        <w:t>行政事业单位医疗</w:t>
      </w:r>
      <w:r>
        <w:rPr>
          <w:rStyle w:val="17"/>
          <w:rFonts w:hint="eastAsia" w:ascii="仿宋" w:hAnsi="仿宋" w:eastAsia="仿宋"/>
          <w:bCs/>
          <w:color w:val="auto"/>
          <w:sz w:val="32"/>
          <w:szCs w:val="32"/>
          <w:highlight w:val="none"/>
        </w:rPr>
        <w:t>（款）</w:t>
      </w:r>
      <w:r>
        <w:rPr>
          <w:rStyle w:val="17"/>
          <w:rFonts w:hint="eastAsia" w:ascii="仿宋" w:hAnsi="仿宋" w:eastAsia="仿宋"/>
          <w:bCs/>
          <w:color w:val="auto"/>
          <w:sz w:val="32"/>
          <w:szCs w:val="32"/>
          <w:highlight w:val="none"/>
          <w:lang w:val="en-US" w:eastAsia="zh-CN"/>
        </w:rPr>
        <w:t>其他行政事业单位医疗支出</w:t>
      </w:r>
      <w:r>
        <w:rPr>
          <w:rStyle w:val="17"/>
          <w:rFonts w:hint="eastAsia" w:ascii="仿宋" w:hAnsi="仿宋" w:eastAsia="仿宋"/>
          <w:bCs/>
          <w:color w:val="auto"/>
          <w:sz w:val="32"/>
          <w:szCs w:val="32"/>
          <w:highlight w:val="none"/>
        </w:rPr>
        <w:t>（项）</w:t>
      </w:r>
      <w:r>
        <w:rPr>
          <w:rStyle w:val="17"/>
          <w:rFonts w:ascii="仿宋" w:hAnsi="仿宋" w:eastAsia="仿宋"/>
          <w:bCs/>
          <w:color w:val="auto"/>
          <w:sz w:val="32"/>
          <w:szCs w:val="32"/>
          <w:highlight w:val="none"/>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0.20</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w:t>
      </w:r>
      <w:r>
        <w:rPr>
          <w:rStyle w:val="17"/>
          <w:rFonts w:hint="eastAsia" w:ascii="仿宋" w:hAnsi="仿宋" w:eastAsia="仿宋"/>
          <w:b w:val="0"/>
          <w:bCs/>
          <w:color w:val="auto"/>
          <w:sz w:val="32"/>
          <w:szCs w:val="32"/>
          <w:highlight w:val="none"/>
          <w:lang w:val="en-US" w:eastAsia="zh-CN"/>
        </w:rPr>
        <w:t>等于</w:t>
      </w:r>
      <w:r>
        <w:rPr>
          <w:rStyle w:val="17"/>
          <w:rFonts w:hint="eastAsia" w:ascii="仿宋" w:hAnsi="仿宋" w:eastAsia="仿宋"/>
          <w:b w:val="0"/>
          <w:bCs/>
          <w:color w:val="auto"/>
          <w:sz w:val="32"/>
          <w:szCs w:val="32"/>
          <w:highlight w:val="none"/>
        </w:rPr>
        <w:t>预算数。</w:t>
      </w:r>
    </w:p>
    <w:p>
      <w:pPr>
        <w:spacing w:line="600" w:lineRule="exact"/>
        <w:ind w:firstLine="642" w:firstLineChars="200"/>
        <w:rPr>
          <w:rFonts w:ascii="仿宋" w:hAnsi="仿宋" w:eastAsia="仿宋"/>
          <w:b/>
          <w:color w:val="auto"/>
          <w:sz w:val="32"/>
          <w:szCs w:val="32"/>
          <w:highlight w:val="none"/>
        </w:rPr>
      </w:pPr>
      <w:r>
        <w:rPr>
          <w:rFonts w:hint="eastAsia" w:ascii="仿宋" w:hAnsi="仿宋" w:eastAsia="仿宋"/>
          <w:b/>
          <w:bCs/>
          <w:color w:val="auto"/>
          <w:sz w:val="32"/>
          <w:szCs w:val="32"/>
          <w:highlight w:val="none"/>
          <w:lang w:val="en-US" w:eastAsia="zh-CN"/>
        </w:rPr>
        <w:t>13.住房保障</w:t>
      </w:r>
      <w:r>
        <w:rPr>
          <w:rStyle w:val="17"/>
          <w:rFonts w:hint="eastAsia" w:ascii="仿宋" w:hAnsi="仿宋" w:eastAsia="仿宋"/>
          <w:bCs/>
          <w:color w:val="auto"/>
          <w:sz w:val="32"/>
          <w:szCs w:val="32"/>
          <w:highlight w:val="none"/>
        </w:rPr>
        <w:t>（类）</w:t>
      </w:r>
      <w:r>
        <w:rPr>
          <w:rStyle w:val="17"/>
          <w:rFonts w:hint="eastAsia" w:ascii="仿宋" w:hAnsi="仿宋" w:eastAsia="仿宋"/>
          <w:bCs/>
          <w:color w:val="auto"/>
          <w:sz w:val="32"/>
          <w:szCs w:val="32"/>
          <w:highlight w:val="none"/>
          <w:lang w:val="en-US" w:eastAsia="zh-CN"/>
        </w:rPr>
        <w:t>住房改革支出</w:t>
      </w:r>
      <w:r>
        <w:rPr>
          <w:rStyle w:val="17"/>
          <w:rFonts w:hint="eastAsia" w:ascii="仿宋" w:hAnsi="仿宋" w:eastAsia="仿宋"/>
          <w:bCs/>
          <w:color w:val="auto"/>
          <w:sz w:val="32"/>
          <w:szCs w:val="32"/>
          <w:highlight w:val="none"/>
        </w:rPr>
        <w:t>（款）</w:t>
      </w:r>
      <w:r>
        <w:rPr>
          <w:rStyle w:val="17"/>
          <w:rFonts w:hint="eastAsia" w:ascii="仿宋" w:hAnsi="仿宋" w:eastAsia="仿宋"/>
          <w:bCs/>
          <w:color w:val="auto"/>
          <w:sz w:val="32"/>
          <w:szCs w:val="32"/>
          <w:highlight w:val="none"/>
          <w:lang w:val="en-US" w:eastAsia="zh-CN"/>
        </w:rPr>
        <w:t>住房公积金</w:t>
      </w:r>
      <w:r>
        <w:rPr>
          <w:rStyle w:val="17"/>
          <w:rFonts w:hint="eastAsia" w:ascii="仿宋" w:hAnsi="仿宋" w:eastAsia="仿宋"/>
          <w:bCs/>
          <w:color w:val="auto"/>
          <w:sz w:val="32"/>
          <w:szCs w:val="32"/>
          <w:highlight w:val="none"/>
        </w:rPr>
        <w:t>（项）</w:t>
      </w:r>
      <w:r>
        <w:rPr>
          <w:rStyle w:val="17"/>
          <w:rFonts w:ascii="仿宋" w:hAnsi="仿宋" w:eastAsia="仿宋"/>
          <w:bCs/>
          <w:color w:val="auto"/>
          <w:sz w:val="32"/>
          <w:szCs w:val="32"/>
          <w:highlight w:val="none"/>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29.27</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w:t>
      </w:r>
      <w:r>
        <w:rPr>
          <w:rStyle w:val="17"/>
          <w:rFonts w:hint="eastAsia" w:ascii="仿宋" w:hAnsi="仿宋" w:eastAsia="仿宋"/>
          <w:b w:val="0"/>
          <w:bCs/>
          <w:color w:val="auto"/>
          <w:sz w:val="32"/>
          <w:szCs w:val="32"/>
          <w:highlight w:val="none"/>
          <w:lang w:val="en-US" w:eastAsia="zh-CN"/>
        </w:rPr>
        <w:t>等于</w:t>
      </w:r>
      <w:r>
        <w:rPr>
          <w:rStyle w:val="17"/>
          <w:rFonts w:hint="eastAsia" w:ascii="仿宋" w:hAnsi="仿宋" w:eastAsia="仿宋"/>
          <w:b w:val="0"/>
          <w:bCs/>
          <w:color w:val="auto"/>
          <w:sz w:val="32"/>
          <w:szCs w:val="32"/>
          <w:highlight w:val="none"/>
        </w:rPr>
        <w:t>预算数。</w:t>
      </w:r>
    </w:p>
    <w:p>
      <w:pPr>
        <w:tabs>
          <w:tab w:val="right" w:pos="8306"/>
        </w:tabs>
        <w:spacing w:line="600" w:lineRule="exact"/>
        <w:ind w:firstLine="640"/>
        <w:outlineLvl w:val="1"/>
        <w:rPr>
          <w:rStyle w:val="29"/>
          <w:color w:val="auto"/>
          <w:highlight w:val="none"/>
        </w:rPr>
      </w:pPr>
      <w:bookmarkStart w:id="51" w:name="_Toc15396608"/>
      <w:bookmarkStart w:id="52" w:name="_Toc15377214"/>
      <w:bookmarkStart w:id="53" w:name="_Toc4396"/>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9"/>
          <w:rFonts w:hint="eastAsia" w:ascii="黑体" w:hAnsi="黑体" w:eastAsia="黑体"/>
          <w:b w:val="0"/>
          <w:color w:val="auto"/>
          <w:highlight w:val="none"/>
        </w:rPr>
        <w:t>般公共预算财政拨款基本支出决算情况说明</w:t>
      </w:r>
      <w:bookmarkEnd w:id="51"/>
      <w:bookmarkEnd w:id="52"/>
      <w:bookmarkEnd w:id="53"/>
      <w:r>
        <w:rPr>
          <w:rStyle w:val="29"/>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417.72</w:t>
      </w:r>
      <w:r>
        <w:rPr>
          <w:rFonts w:hint="eastAsia" w:ascii="仿宋" w:hAnsi="仿宋" w:eastAsia="仿宋"/>
          <w:color w:val="auto"/>
          <w:sz w:val="32"/>
          <w:szCs w:val="32"/>
          <w:highlight w:val="none"/>
        </w:rPr>
        <w:t>万元，其中：</w:t>
      </w:r>
    </w:p>
    <w:p>
      <w:pPr>
        <w:spacing w:line="600" w:lineRule="exact"/>
        <w:ind w:firstLine="645"/>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350.75</w:t>
      </w:r>
      <w:r>
        <w:rPr>
          <w:rFonts w:hint="eastAsia" w:ascii="仿宋" w:hAnsi="仿宋" w:eastAsia="仿宋"/>
          <w:color w:val="auto"/>
          <w:sz w:val="32"/>
          <w:szCs w:val="32"/>
          <w:highlight w:val="none"/>
        </w:rPr>
        <w:t>万元，主要包括：基本工资、津贴补贴、奖金、绩效工资、机关事业单位基本养老保险缴费</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其他社会保障缴费、</w:t>
      </w:r>
      <w:r>
        <w:rPr>
          <w:rFonts w:hint="eastAsia" w:ascii="仿宋" w:hAnsi="仿宋" w:eastAsia="仿宋"/>
          <w:color w:val="auto"/>
          <w:sz w:val="32"/>
          <w:szCs w:val="32"/>
          <w:highlight w:val="none"/>
          <w:lang w:val="en-US" w:eastAsia="zh-CN"/>
        </w:rPr>
        <w:t>职工基本医疗保险缴费、公务员医疗补助缴费、</w:t>
      </w:r>
      <w:r>
        <w:rPr>
          <w:rFonts w:hint="eastAsia" w:ascii="仿宋" w:hAnsi="仿宋" w:eastAsia="仿宋"/>
          <w:color w:val="auto"/>
          <w:sz w:val="32"/>
          <w:szCs w:val="32"/>
          <w:highlight w:val="none"/>
        </w:rPr>
        <w:t>其他</w:t>
      </w:r>
      <w:r>
        <w:rPr>
          <w:rFonts w:hint="eastAsia" w:ascii="仿宋" w:hAnsi="仿宋" w:eastAsia="仿宋"/>
          <w:color w:val="auto"/>
          <w:sz w:val="32"/>
          <w:szCs w:val="32"/>
          <w:highlight w:val="none"/>
          <w:lang w:val="en-US" w:eastAsia="zh-CN"/>
        </w:rPr>
        <w:t>社会保障缴费</w:t>
      </w:r>
      <w:r>
        <w:rPr>
          <w:rFonts w:hint="eastAsia" w:ascii="仿宋" w:hAnsi="仿宋" w:eastAsia="仿宋"/>
          <w:color w:val="auto"/>
          <w:sz w:val="32"/>
          <w:szCs w:val="32"/>
          <w:highlight w:val="none"/>
        </w:rPr>
        <w:t>、住房公积金、</w:t>
      </w:r>
      <w:r>
        <w:rPr>
          <w:rFonts w:hint="eastAsia" w:ascii="仿宋" w:hAnsi="仿宋" w:eastAsia="仿宋"/>
          <w:color w:val="auto"/>
          <w:sz w:val="32"/>
          <w:szCs w:val="32"/>
          <w:highlight w:val="none"/>
          <w:lang w:val="en-US" w:eastAsia="zh-CN"/>
        </w:rPr>
        <w:t>医疗费、其他工资福利支出</w:t>
      </w:r>
      <w:r>
        <w:rPr>
          <w:rFonts w:hint="eastAsia" w:ascii="仿宋" w:hAnsi="仿宋" w:eastAsia="仿宋"/>
          <w:color w:val="auto"/>
          <w:sz w:val="32"/>
          <w:szCs w:val="32"/>
          <w:highlight w:val="none"/>
        </w:rPr>
        <w:t>等。</w:t>
      </w:r>
    </w:p>
    <w:p>
      <w:pPr>
        <w:spacing w:line="600" w:lineRule="exact"/>
        <w:ind w:firstLine="645"/>
        <w:rPr>
          <w:rFonts w:ascii="仿宋" w:hAnsi="仿宋" w:eastAsia="仿宋"/>
          <w:b/>
          <w:color w:val="auto"/>
          <w:sz w:val="32"/>
          <w:szCs w:val="32"/>
          <w:highlight w:val="none"/>
        </w:rPr>
      </w:pPr>
      <w:r>
        <w:rPr>
          <w:rFonts w:hint="eastAsia" w:ascii="仿宋" w:hAnsi="仿宋" w:eastAsia="仿宋"/>
          <w:color w:val="auto"/>
          <w:sz w:val="32"/>
          <w:szCs w:val="32"/>
          <w:highlight w:val="none"/>
        </w:rPr>
        <w:t>公用经费</w:t>
      </w:r>
      <w:r>
        <w:rPr>
          <w:rFonts w:hint="eastAsia" w:ascii="仿宋" w:hAnsi="仿宋" w:eastAsia="仿宋"/>
          <w:color w:val="auto"/>
          <w:sz w:val="32"/>
          <w:szCs w:val="32"/>
          <w:highlight w:val="none"/>
          <w:lang w:val="en-US" w:eastAsia="zh-CN"/>
        </w:rPr>
        <w:t>64.19</w:t>
      </w:r>
      <w:r>
        <w:rPr>
          <w:rFonts w:hint="eastAsia" w:ascii="仿宋" w:hAnsi="仿宋" w:eastAsia="仿宋"/>
          <w:color w:val="auto"/>
          <w:sz w:val="32"/>
          <w:szCs w:val="32"/>
          <w:highlight w:val="none"/>
        </w:rPr>
        <w:t>万元，主要包括：办公费、印刷费、邮电费、差旅费、维修（护）费、会议费、公务接待费、工会经费、福利费、其他交通费、其他商品和服务支出等。</w:t>
      </w:r>
    </w:p>
    <w:p>
      <w:pPr>
        <w:spacing w:line="600" w:lineRule="exact"/>
        <w:ind w:firstLine="640"/>
        <w:outlineLvl w:val="1"/>
        <w:rPr>
          <w:rStyle w:val="29"/>
          <w:rFonts w:ascii="黑体" w:hAnsi="黑体" w:eastAsia="黑体"/>
          <w:b w:val="0"/>
          <w:color w:val="auto"/>
          <w:highlight w:val="none"/>
        </w:rPr>
      </w:pPr>
      <w:bookmarkStart w:id="54" w:name="_Toc15396609"/>
      <w:bookmarkStart w:id="55" w:name="_Toc15377215"/>
      <w:bookmarkStart w:id="56" w:name="_Toc2375"/>
      <w:r>
        <w:rPr>
          <w:rFonts w:hint="eastAsia" w:ascii="黑体" w:eastAsia="黑体"/>
          <w:color w:val="auto"/>
          <w:sz w:val="32"/>
          <w:szCs w:val="32"/>
          <w:highlight w:val="none"/>
        </w:rPr>
        <w:t>七、</w:t>
      </w:r>
      <w:r>
        <w:rPr>
          <w:rStyle w:val="29"/>
          <w:rFonts w:hint="eastAsia" w:ascii="黑体" w:hAnsi="黑体" w:eastAsia="黑体"/>
          <w:b w:val="0"/>
          <w:color w:val="auto"/>
          <w:highlight w:val="none"/>
        </w:rPr>
        <w:t>财政拨款</w:t>
      </w:r>
      <w:r>
        <w:rPr>
          <w:rStyle w:val="29"/>
          <w:rFonts w:hint="eastAsia" w:ascii="黑体" w:hAnsi="黑体" w:eastAsia="黑体"/>
          <w:color w:val="auto"/>
          <w:highlight w:val="none"/>
        </w:rPr>
        <w:t>“</w:t>
      </w:r>
      <w:r>
        <w:rPr>
          <w:rStyle w:val="29"/>
          <w:rFonts w:hint="eastAsia" w:ascii="黑体" w:hAnsi="黑体" w:eastAsia="黑体"/>
          <w:b w:val="0"/>
          <w:color w:val="auto"/>
          <w:highlight w:val="none"/>
        </w:rPr>
        <w:t>三公”经费支出决算情况说明</w:t>
      </w:r>
      <w:bookmarkEnd w:id="54"/>
      <w:bookmarkEnd w:id="55"/>
      <w:bookmarkEnd w:id="56"/>
    </w:p>
    <w:p>
      <w:pPr>
        <w:spacing w:line="600" w:lineRule="exact"/>
        <w:ind w:firstLine="640"/>
        <w:outlineLvl w:val="2"/>
        <w:rPr>
          <w:rFonts w:ascii="仿宋" w:hAnsi="仿宋" w:eastAsia="仿宋"/>
          <w:b/>
          <w:color w:val="auto"/>
          <w:sz w:val="32"/>
          <w:szCs w:val="32"/>
          <w:highlight w:val="none"/>
        </w:rPr>
      </w:pPr>
      <w:bookmarkStart w:id="57" w:name="_Toc15377216"/>
      <w:r>
        <w:rPr>
          <w:rFonts w:hint="eastAsia" w:ascii="仿宋" w:hAnsi="仿宋" w:eastAsia="仿宋"/>
          <w:b/>
          <w:color w:val="auto"/>
          <w:sz w:val="32"/>
          <w:szCs w:val="32"/>
          <w:highlight w:val="none"/>
        </w:rPr>
        <w:t>（一）“三公”经费财政拨款支出决算总体情况说明</w:t>
      </w:r>
      <w:bookmarkEnd w:id="57"/>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8.9</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96.74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较上年增加</w:t>
      </w:r>
      <w:r>
        <w:rPr>
          <w:rFonts w:hint="eastAsia" w:ascii="仿宋" w:hAnsi="仿宋" w:eastAsia="仿宋"/>
          <w:color w:val="auto"/>
          <w:sz w:val="32"/>
          <w:szCs w:val="32"/>
          <w:highlight w:val="none"/>
          <w:lang w:val="en-US" w:eastAsia="zh-CN"/>
        </w:rPr>
        <w:t>0.65万元，增长7.88%。</w:t>
      </w:r>
      <w:r>
        <w:rPr>
          <w:rFonts w:hint="eastAsia" w:ascii="仿宋" w:hAnsi="仿宋" w:eastAsia="仿宋"/>
          <w:color w:val="auto"/>
          <w:sz w:val="32"/>
          <w:szCs w:val="32"/>
          <w:highlight w:val="none"/>
        </w:rPr>
        <w:t>决算数小于预算数的主要原因是</w:t>
      </w:r>
      <w:r>
        <w:rPr>
          <w:rFonts w:hint="eastAsia" w:ascii="仿宋" w:hAnsi="仿宋" w:eastAsia="仿宋"/>
          <w:color w:val="auto"/>
          <w:sz w:val="32"/>
          <w:szCs w:val="32"/>
          <w:highlight w:val="none"/>
          <w:lang w:val="en-US" w:eastAsia="zh-CN"/>
        </w:rPr>
        <w:t>公务接待厉行节约，其费用支出小于年初预算</w:t>
      </w:r>
      <w:r>
        <w:rPr>
          <w:rFonts w:hint="eastAsia" w:ascii="仿宋" w:hAnsi="仿宋" w:eastAsia="仿宋"/>
          <w:color w:val="auto"/>
          <w:sz w:val="32"/>
          <w:szCs w:val="32"/>
          <w:highlight w:val="none"/>
        </w:rPr>
        <w:t>。</w:t>
      </w:r>
    </w:p>
    <w:p>
      <w:pPr>
        <w:spacing w:line="600" w:lineRule="exact"/>
        <w:ind w:firstLine="640"/>
        <w:outlineLvl w:val="2"/>
        <w:rPr>
          <w:rFonts w:ascii="仿宋" w:hAnsi="仿宋" w:eastAsia="仿宋"/>
          <w:b/>
          <w:color w:val="auto"/>
          <w:sz w:val="32"/>
          <w:szCs w:val="32"/>
          <w:highlight w:val="none"/>
        </w:rPr>
      </w:pPr>
      <w:bookmarkStart w:id="58" w:name="_Toc15377217"/>
      <w:r>
        <w:rPr>
          <w:rFonts w:hint="eastAsia" w:ascii="仿宋" w:hAnsi="仿宋" w:eastAsia="仿宋"/>
          <w:b/>
          <w:color w:val="auto"/>
          <w:sz w:val="32"/>
          <w:szCs w:val="32"/>
          <w:highlight w:val="none"/>
        </w:rPr>
        <w:t>（二）“三公”经费财政拨款支出决算具体情况说明</w:t>
      </w:r>
      <w:bookmarkEnd w:id="58"/>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7.7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86.52</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1.2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13.48</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pStyle w:val="2"/>
        <w:rPr>
          <w:rFonts w:hint="eastAsia" w:eastAsia="仿宋"/>
          <w:lang w:eastAsia="zh-CN"/>
        </w:rPr>
      </w:pPr>
      <w:r>
        <w:rPr>
          <w:rFonts w:hint="eastAsia" w:eastAsia="仿宋"/>
          <w:lang w:eastAsia="zh-CN"/>
        </w:rPr>
        <w:drawing>
          <wp:inline distT="0" distB="0" distL="114300" distR="114300">
            <wp:extent cx="5596255" cy="2386965"/>
            <wp:effectExtent l="4445" t="4445" r="19050" b="889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line="600" w:lineRule="exact"/>
        <w:ind w:firstLine="640"/>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w:t>
      </w:r>
    </w:p>
    <w:p>
      <w:pPr>
        <w:spacing w:line="600" w:lineRule="exact"/>
        <w:ind w:firstLine="640"/>
        <w:rPr>
          <w:rStyle w:val="17"/>
          <w:rFonts w:hint="eastAsia" w:ascii="仿宋" w:hAnsi="仿宋" w:eastAsia="仿宋" w:cstheme="minorBidi"/>
          <w:b w:val="0"/>
          <w:bCs/>
          <w:color w:val="auto"/>
          <w:sz w:val="32"/>
          <w:szCs w:val="32"/>
          <w:highlight w:val="none"/>
          <w:lang w:val="en-US" w:eastAsia="zh-CN"/>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0万元，完成预算0%。全年安排因公出国（境）团组0次，出国（境）0人。</w:t>
      </w:r>
    </w:p>
    <w:p>
      <w:pPr>
        <w:spacing w:line="600" w:lineRule="exact"/>
        <w:ind w:firstLine="640"/>
        <w:rPr>
          <w:rStyle w:val="17"/>
          <w:rFonts w:hint="eastAsia" w:ascii="仿宋" w:hAnsi="仿宋" w:eastAsia="仿宋" w:cstheme="minorBidi"/>
          <w:b w:val="0"/>
          <w:bCs/>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7.7万元,完成预算100%。公务用车购置及运行维护费支出决算比2021年增加0.03万元，增长0.39%。主要原因是公务用车使用年限较长，维护成本增加。</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p>
    <w:p>
      <w:pPr>
        <w:spacing w:line="600" w:lineRule="exact"/>
        <w:ind w:firstLine="640"/>
        <w:rPr>
          <w:rFonts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7.7</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val="en-US" w:eastAsia="zh-CN"/>
        </w:rPr>
        <w:t>业务科室开展政务服务、放管服</w:t>
      </w:r>
      <w:r>
        <w:rPr>
          <w:rFonts w:hint="eastAsia" w:ascii="仿宋_GB2312" w:eastAsia="仿宋_GB2312"/>
          <w:color w:val="auto"/>
          <w:sz w:val="32"/>
          <w:szCs w:val="32"/>
          <w:highlight w:val="none"/>
        </w:rPr>
        <w:t>等</w:t>
      </w:r>
      <w:r>
        <w:rPr>
          <w:rFonts w:hint="eastAsia" w:ascii="仿宋_GB2312" w:eastAsia="仿宋_GB2312"/>
          <w:color w:val="auto"/>
          <w:sz w:val="32"/>
          <w:szCs w:val="32"/>
          <w:highlight w:val="none"/>
          <w:lang w:val="en-US" w:eastAsia="zh-CN"/>
        </w:rPr>
        <w:t>工作</w:t>
      </w:r>
      <w:r>
        <w:rPr>
          <w:rFonts w:hint="eastAsia" w:ascii="仿宋_GB2312" w:eastAsia="仿宋_GB2312"/>
          <w:color w:val="auto"/>
          <w:sz w:val="32"/>
          <w:szCs w:val="32"/>
          <w:highlight w:val="none"/>
        </w:rPr>
        <w:t>所需的公务用车燃料费、维修费、过路过桥费、保险费等支出。</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1.2</w:t>
      </w:r>
      <w:r>
        <w:rPr>
          <w:rFonts w:hint="eastAsia" w:ascii="仿宋_GB2312" w:eastAsia="仿宋_GB2312"/>
          <w:color w:val="auto"/>
          <w:sz w:val="32"/>
          <w:szCs w:val="32"/>
          <w:highlight w:val="none"/>
        </w:rPr>
        <w:t>万元，</w:t>
      </w:r>
      <w:r>
        <w:rPr>
          <w:rStyle w:val="17"/>
          <w:rFonts w:hint="eastAsia" w:ascii="仿宋" w:hAnsi="仿宋" w:eastAsia="仿宋"/>
          <w:b w:val="0"/>
          <w:bCs/>
          <w:color w:val="auto"/>
          <w:sz w:val="32"/>
          <w:szCs w:val="32"/>
          <w:highlight w:val="none"/>
        </w:rPr>
        <w:t>完成预算</w:t>
      </w:r>
      <w:r>
        <w:rPr>
          <w:rStyle w:val="17"/>
          <w:rFonts w:hint="eastAsia" w:ascii="仿宋" w:hAnsi="仿宋" w:eastAsia="仿宋"/>
          <w:b w:val="0"/>
          <w:bCs/>
          <w:color w:val="auto"/>
          <w:sz w:val="32"/>
          <w:szCs w:val="32"/>
          <w:highlight w:val="none"/>
          <w:lang w:val="en-US" w:eastAsia="zh-CN"/>
        </w:rPr>
        <w:t>80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0.62</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106.90</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val="en-US" w:eastAsia="zh-CN"/>
        </w:rPr>
        <w:t>来巴开展调研和学习考察的公务接待增加</w:t>
      </w:r>
      <w:r>
        <w:rPr>
          <w:rFonts w:hint="eastAsia" w:ascii="仿宋_GB2312" w:eastAsia="仿宋_GB2312"/>
          <w:color w:val="auto"/>
          <w:sz w:val="32"/>
          <w:szCs w:val="32"/>
          <w:highlight w:val="none"/>
        </w:rPr>
        <w:t>。其中：</w:t>
      </w:r>
    </w:p>
    <w:p>
      <w:pPr>
        <w:spacing w:line="600" w:lineRule="exact"/>
        <w:ind w:firstLine="640"/>
        <w:rPr>
          <w:rFonts w:ascii="黑体" w:eastAsia="黑体"/>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1.2</w:t>
      </w:r>
      <w:r>
        <w:rPr>
          <w:rFonts w:hint="eastAsia" w:ascii="仿宋_GB2312" w:eastAsia="仿宋_GB2312"/>
          <w:color w:val="auto"/>
          <w:sz w:val="32"/>
          <w:szCs w:val="32"/>
          <w:highlight w:val="none"/>
        </w:rPr>
        <w:t>万元，主要用于执行公务、开展业务活动开支的</w:t>
      </w:r>
      <w:r>
        <w:rPr>
          <w:rFonts w:hint="eastAsia" w:ascii="仿宋_GB2312" w:eastAsia="仿宋_GB2312"/>
          <w:color w:val="auto"/>
          <w:sz w:val="32"/>
          <w:szCs w:val="32"/>
          <w:highlight w:val="none"/>
          <w:lang w:val="en-US" w:eastAsia="zh-CN"/>
        </w:rPr>
        <w:t>交通费、</w:t>
      </w:r>
      <w:r>
        <w:rPr>
          <w:rFonts w:hint="eastAsia" w:ascii="仿宋_GB2312" w:eastAsia="仿宋_GB2312"/>
          <w:color w:val="auto"/>
          <w:sz w:val="32"/>
          <w:szCs w:val="32"/>
          <w:highlight w:val="none"/>
        </w:rPr>
        <w:t>用餐费等。国内公务接待</w:t>
      </w:r>
      <w:r>
        <w:rPr>
          <w:rFonts w:hint="eastAsia" w:ascii="仿宋_GB2312" w:eastAsia="仿宋_GB2312"/>
          <w:color w:val="auto"/>
          <w:sz w:val="32"/>
          <w:szCs w:val="32"/>
          <w:highlight w:val="none"/>
          <w:lang w:val="en-US" w:eastAsia="zh-CN"/>
        </w:rPr>
        <w:t>10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100</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1.2</w:t>
      </w:r>
      <w:r>
        <w:rPr>
          <w:rFonts w:hint="eastAsia" w:ascii="仿宋_GB2312" w:eastAsia="仿宋_GB2312"/>
          <w:color w:val="auto"/>
          <w:sz w:val="32"/>
          <w:szCs w:val="32"/>
          <w:highlight w:val="none"/>
        </w:rPr>
        <w:t>万元。</w:t>
      </w:r>
      <w:bookmarkStart w:id="59" w:name="_Toc15377218"/>
      <w:bookmarkStart w:id="60" w:name="_Toc15396610"/>
    </w:p>
    <w:p>
      <w:pPr>
        <w:spacing w:line="600" w:lineRule="exact"/>
        <w:ind w:firstLine="640"/>
        <w:outlineLvl w:val="1"/>
        <w:rPr>
          <w:rStyle w:val="29"/>
          <w:rFonts w:ascii="黑体" w:hAnsi="黑体" w:eastAsia="黑体"/>
          <w:color w:val="auto"/>
          <w:highlight w:val="none"/>
        </w:rPr>
      </w:pPr>
      <w:bookmarkStart w:id="61" w:name="_Toc6418"/>
      <w:r>
        <w:rPr>
          <w:rFonts w:hint="eastAsia" w:ascii="黑体" w:eastAsia="黑体"/>
          <w:color w:val="auto"/>
          <w:sz w:val="32"/>
          <w:szCs w:val="32"/>
          <w:highlight w:val="none"/>
        </w:rPr>
        <w:t>八、</w:t>
      </w:r>
      <w:r>
        <w:rPr>
          <w:rStyle w:val="29"/>
          <w:rFonts w:hint="eastAsia" w:ascii="黑体" w:hAnsi="黑体" w:eastAsia="黑体"/>
          <w:b w:val="0"/>
          <w:color w:val="auto"/>
          <w:highlight w:val="none"/>
        </w:rPr>
        <w:t>政府性基金预算支出决算情况说明</w:t>
      </w:r>
      <w:bookmarkEnd w:id="59"/>
      <w:bookmarkEnd w:id="60"/>
      <w:bookmarkEnd w:id="61"/>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29"/>
          <w:rFonts w:ascii="黑体" w:hAnsi="黑体" w:eastAsia="黑体"/>
          <w:b w:val="0"/>
          <w:color w:val="auto"/>
          <w:highlight w:val="none"/>
        </w:rPr>
      </w:pPr>
      <w:bookmarkStart w:id="62" w:name="_Toc15377219"/>
      <w:bookmarkStart w:id="63" w:name="_Toc14989"/>
      <w:bookmarkStart w:id="64" w:name="_Toc15396611"/>
      <w:r>
        <w:rPr>
          <w:rStyle w:val="29"/>
          <w:rFonts w:hint="eastAsia" w:ascii="黑体" w:hAnsi="黑体" w:eastAsia="黑体"/>
          <w:b w:val="0"/>
          <w:color w:val="auto"/>
          <w:highlight w:val="none"/>
        </w:rPr>
        <w:t>国有资本经营预算支出决算情况说明</w:t>
      </w:r>
      <w:bookmarkEnd w:id="62"/>
      <w:bookmarkEnd w:id="63"/>
      <w:bookmarkEnd w:id="64"/>
    </w:p>
    <w:p>
      <w:pPr>
        <w:spacing w:line="600" w:lineRule="exact"/>
        <w:ind w:firstLine="640"/>
        <w:rPr>
          <w:rFonts w:ascii="方正小标宋简体" w:hAns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29"/>
          <w:rFonts w:hint="eastAsia" w:ascii="黑体" w:hAnsi="黑体" w:eastAsia="黑体"/>
          <w:b w:val="0"/>
          <w:color w:val="auto"/>
          <w:highlight w:val="none"/>
        </w:rPr>
      </w:pPr>
      <w:bookmarkStart w:id="65" w:name="_Toc30716"/>
      <w:bookmarkStart w:id="66" w:name="_Toc15377221"/>
      <w:bookmarkStart w:id="67" w:name="_Toc15396612"/>
      <w:r>
        <w:rPr>
          <w:rStyle w:val="29"/>
          <w:rFonts w:hint="eastAsia" w:ascii="黑体" w:hAnsi="黑体" w:eastAsia="黑体"/>
          <w:b w:val="0"/>
          <w:color w:val="auto"/>
          <w:highlight w:val="none"/>
        </w:rPr>
        <w:t>其他重要事项的情况说明</w:t>
      </w:r>
      <w:bookmarkEnd w:id="65"/>
      <w:bookmarkEnd w:id="66"/>
      <w:bookmarkEnd w:id="67"/>
    </w:p>
    <w:p>
      <w:pPr>
        <w:spacing w:line="600" w:lineRule="exact"/>
        <w:ind w:firstLine="642" w:firstLineChars="200"/>
        <w:outlineLvl w:val="2"/>
        <w:rPr>
          <w:rFonts w:ascii="仿宋" w:hAnsi="仿宋" w:eastAsia="仿宋"/>
          <w:color w:val="auto"/>
          <w:sz w:val="32"/>
          <w:szCs w:val="32"/>
          <w:highlight w:val="none"/>
        </w:rPr>
      </w:pPr>
      <w:bookmarkStart w:id="68" w:name="_Toc15377222"/>
      <w:r>
        <w:rPr>
          <w:rFonts w:hint="eastAsia" w:ascii="仿宋" w:hAnsi="仿宋" w:eastAsia="仿宋"/>
          <w:b/>
          <w:color w:val="auto"/>
          <w:sz w:val="32"/>
          <w:szCs w:val="32"/>
          <w:highlight w:val="none"/>
        </w:rPr>
        <w:t>（一）机关运行经费支出情况</w:t>
      </w:r>
      <w:bookmarkEnd w:id="68"/>
    </w:p>
    <w:p>
      <w:pPr>
        <w:spacing w:line="600" w:lineRule="exact"/>
        <w:ind w:firstLine="640" w:firstLineChars="200"/>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年，机关运行经费支出</w:t>
      </w:r>
      <w:r>
        <w:rPr>
          <w:rFonts w:hint="eastAsia" w:ascii="仿宋_GB2312" w:eastAsia="仿宋_GB2312"/>
          <w:color w:val="auto"/>
          <w:sz w:val="32"/>
          <w:szCs w:val="32"/>
          <w:highlight w:val="none"/>
          <w:lang w:val="en-US" w:eastAsia="zh-CN"/>
        </w:rPr>
        <w:t>64.19</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1.39</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2.22</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val="en-US" w:eastAsia="zh-CN"/>
        </w:rPr>
        <w:t>单位人员增加</w:t>
      </w:r>
      <w:r>
        <w:rPr>
          <w:rFonts w:hint="eastAsia" w:ascii="仿宋_GB2312" w:eastAsia="仿宋_GB2312"/>
          <w:color w:val="auto"/>
          <w:sz w:val="32"/>
          <w:szCs w:val="32"/>
          <w:highlight w:val="none"/>
          <w:lang w:eastAsia="zh-CN"/>
        </w:rPr>
        <w:t>。</w:t>
      </w:r>
    </w:p>
    <w:p>
      <w:pPr>
        <w:autoSpaceDE w:val="0"/>
        <w:autoSpaceDN w:val="0"/>
        <w:adjustRightInd w:val="0"/>
        <w:spacing w:line="600" w:lineRule="exact"/>
        <w:ind w:firstLine="642" w:firstLineChars="200"/>
        <w:jc w:val="left"/>
        <w:outlineLvl w:val="2"/>
        <w:rPr>
          <w:rFonts w:ascii="仿宋" w:hAnsi="仿宋" w:eastAsia="仿宋"/>
          <w:b/>
          <w:color w:val="auto"/>
          <w:sz w:val="32"/>
          <w:szCs w:val="32"/>
          <w:highlight w:val="none"/>
        </w:rPr>
      </w:pPr>
      <w:bookmarkStart w:id="69" w:name="_Toc15377223"/>
      <w:r>
        <w:rPr>
          <w:rFonts w:hint="eastAsia" w:ascii="仿宋" w:hAnsi="仿宋" w:eastAsia="仿宋"/>
          <w:b/>
          <w:color w:val="auto"/>
          <w:sz w:val="32"/>
          <w:szCs w:val="32"/>
          <w:highlight w:val="none"/>
        </w:rPr>
        <w:t>（二）政府采购支出情况</w:t>
      </w:r>
      <w:bookmarkEnd w:id="69"/>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autoSpaceDE w:val="0"/>
        <w:autoSpaceDN w:val="0"/>
        <w:adjustRightInd w:val="0"/>
        <w:spacing w:line="600" w:lineRule="exact"/>
        <w:ind w:firstLine="642" w:firstLineChars="200"/>
        <w:jc w:val="left"/>
        <w:outlineLvl w:val="2"/>
        <w:rPr>
          <w:rFonts w:ascii="仿宋" w:hAnsi="仿宋" w:eastAsia="仿宋"/>
          <w:b/>
          <w:color w:val="auto"/>
          <w:sz w:val="32"/>
          <w:szCs w:val="32"/>
          <w:highlight w:val="none"/>
        </w:rPr>
      </w:pPr>
      <w:bookmarkStart w:id="70" w:name="_Toc15377224"/>
      <w:r>
        <w:rPr>
          <w:rFonts w:hint="eastAsia" w:ascii="仿宋" w:hAnsi="仿宋" w:eastAsia="仿宋"/>
          <w:b/>
          <w:color w:val="auto"/>
          <w:sz w:val="32"/>
          <w:szCs w:val="32"/>
          <w:highlight w:val="none"/>
        </w:rPr>
        <w:t>（三）国有资产占有使用情况</w:t>
      </w:r>
      <w:bookmarkEnd w:id="70"/>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val="en-US" w:eastAsia="zh-CN"/>
        </w:rPr>
        <w:t>我局</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辆，其中：应急保障用车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autoSpaceDE w:val="0"/>
        <w:autoSpaceDN w:val="0"/>
        <w:adjustRightInd w:val="0"/>
        <w:spacing w:line="600" w:lineRule="exact"/>
        <w:ind w:firstLine="642" w:firstLineChars="200"/>
        <w:jc w:val="left"/>
        <w:outlineLvl w:val="2"/>
        <w:rPr>
          <w:rFonts w:ascii="仿宋" w:hAnsi="仿宋" w:eastAsia="仿宋"/>
          <w:b/>
          <w:color w:val="auto"/>
          <w:sz w:val="32"/>
          <w:szCs w:val="32"/>
          <w:highlight w:val="none"/>
        </w:rPr>
      </w:pPr>
      <w:r>
        <w:rPr>
          <w:rFonts w:hint="eastAsia" w:ascii="仿宋" w:hAnsi="仿宋" w:eastAsia="仿宋"/>
          <w:b/>
          <w:color w:val="auto"/>
          <w:sz w:val="32"/>
          <w:szCs w:val="32"/>
          <w:highlight w:val="none"/>
        </w:rPr>
        <w:t>（四）预算绩效管理情况</w:t>
      </w:r>
    </w:p>
    <w:p>
      <w:pPr>
        <w:widowControl/>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根据预算绩效管理要求，本部门在202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年度预算编制阶段，组织巴中市电子政务云云资源服务采购项目开展了预算事前绩效评估，对</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个项目开展绩效监控。</w:t>
      </w:r>
    </w:p>
    <w:p>
      <w:pPr>
        <w:widowControl/>
        <w:ind w:firstLine="640" w:firstLineChars="200"/>
        <w:jc w:val="left"/>
        <w:rPr>
          <w:rFonts w:ascii="仿宋_GB2312" w:eastAsia="仿宋_GB2312"/>
          <w:b/>
          <w:color w:val="auto"/>
          <w:sz w:val="32"/>
          <w:szCs w:val="32"/>
          <w:highlight w:val="none"/>
        </w:rPr>
      </w:pPr>
      <w:r>
        <w:rPr>
          <w:rFonts w:hint="eastAsia" w:ascii="仿宋_GB2312" w:hAnsi="仿宋_GB2312" w:eastAsia="仿宋_GB2312" w:cs="仿宋_GB2312"/>
          <w:color w:val="auto"/>
          <w:sz w:val="32"/>
          <w:szCs w:val="32"/>
          <w:highlight w:val="none"/>
        </w:rPr>
        <w:t>组织对2022年度一般公共预算全面开展绩效自评，形成</w:t>
      </w:r>
      <w:r>
        <w:rPr>
          <w:rFonts w:hint="eastAsia" w:ascii="仿宋_GB2312" w:hAnsi="仿宋_GB2312" w:eastAsia="仿宋_GB2312" w:cs="仿宋_GB2312"/>
          <w:color w:val="auto"/>
          <w:sz w:val="32"/>
          <w:szCs w:val="32"/>
          <w:highlight w:val="none"/>
          <w:lang w:val="en-US" w:eastAsia="zh-CN"/>
        </w:rPr>
        <w:t>巴中市政务服务和大数据管理局</w:t>
      </w:r>
      <w:r>
        <w:rPr>
          <w:rFonts w:hint="eastAsia" w:ascii="仿宋_GB2312" w:hAnsi="仿宋_GB2312" w:eastAsia="仿宋_GB2312" w:cs="仿宋_GB2312"/>
          <w:color w:val="auto"/>
          <w:sz w:val="32"/>
          <w:szCs w:val="32"/>
          <w:highlight w:val="none"/>
        </w:rPr>
        <w:t>部门整体（含部门预算项目）绩效自评报告、巴中市电子政务云云资源服务采购项目专项预算项目绩效自评报告，其中，</w:t>
      </w:r>
      <w:r>
        <w:rPr>
          <w:rFonts w:hint="eastAsia" w:ascii="仿宋_GB2312" w:hAnsi="仿宋_GB2312" w:eastAsia="仿宋_GB2312" w:cs="仿宋_GB2312"/>
          <w:color w:val="auto"/>
          <w:sz w:val="32"/>
          <w:szCs w:val="32"/>
          <w:highlight w:val="none"/>
          <w:lang w:val="en-US" w:eastAsia="zh-CN"/>
        </w:rPr>
        <w:t>巴中市政务服务和大数据管理局</w:t>
      </w:r>
      <w:r>
        <w:rPr>
          <w:rFonts w:hint="eastAsia" w:ascii="仿宋_GB2312" w:hAnsi="仿宋_GB2312" w:eastAsia="仿宋_GB2312" w:cs="仿宋_GB2312"/>
          <w:color w:val="auto"/>
          <w:sz w:val="32"/>
          <w:szCs w:val="32"/>
          <w:highlight w:val="none"/>
        </w:rPr>
        <w:t>部门整体（含部门预算项目）绩效自评得分为</w:t>
      </w:r>
      <w:r>
        <w:rPr>
          <w:rFonts w:hint="eastAsia" w:ascii="仿宋_GB2312" w:hAnsi="仿宋_GB2312" w:eastAsia="仿宋_GB2312" w:cs="仿宋_GB2312"/>
          <w:color w:val="auto"/>
          <w:sz w:val="32"/>
          <w:szCs w:val="32"/>
          <w:highlight w:val="none"/>
          <w:lang w:val="en-US" w:eastAsia="zh-CN"/>
        </w:rPr>
        <w:t>98</w:t>
      </w:r>
      <w:r>
        <w:rPr>
          <w:rFonts w:hint="eastAsia" w:ascii="仿宋_GB2312" w:hAnsi="仿宋_GB2312" w:eastAsia="仿宋_GB2312" w:cs="仿宋_GB2312"/>
          <w:color w:val="auto"/>
          <w:sz w:val="32"/>
          <w:szCs w:val="32"/>
          <w:highlight w:val="none"/>
        </w:rPr>
        <w:t>分，绩效自评综述：经自评，202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我局财政资金收支规范、管理制度健全，绩效目标任务全面完成，重点项目效益成效明显，财政资金使用效益明显提高，整体支出绩效自评为优秀。；巴中市电子政务云云资源服务采购项目专项预算项目绩效自评得分为</w:t>
      </w:r>
      <w:r>
        <w:rPr>
          <w:rFonts w:hint="eastAsia" w:ascii="仿宋_GB2312" w:hAnsi="仿宋_GB2312" w:eastAsia="仿宋_GB2312" w:cs="仿宋_GB2312"/>
          <w:color w:val="auto"/>
          <w:sz w:val="32"/>
          <w:szCs w:val="32"/>
          <w:highlight w:val="none"/>
          <w:lang w:val="en-US" w:eastAsia="zh-CN"/>
        </w:rPr>
        <w:t>99</w:t>
      </w:r>
      <w:r>
        <w:rPr>
          <w:rFonts w:hint="eastAsia" w:ascii="仿宋_GB2312" w:hAnsi="仿宋_GB2312" w:eastAsia="仿宋_GB2312" w:cs="仿宋_GB2312"/>
          <w:color w:val="auto"/>
          <w:sz w:val="32"/>
          <w:szCs w:val="32"/>
          <w:highlight w:val="none"/>
        </w:rPr>
        <w:t>分，绩效自评综述：</w:t>
      </w:r>
      <w:r>
        <w:rPr>
          <w:rFonts w:hint="eastAsia" w:ascii="Times New Roman" w:hAnsi="Times New Roman" w:eastAsia="仿宋_GB2312" w:cs="Times New Roman"/>
          <w:color w:val="000000"/>
          <w:spacing w:val="-6"/>
          <w:sz w:val="32"/>
          <w:szCs w:val="32"/>
          <w:lang w:val="en-US" w:eastAsia="zh-CN"/>
        </w:rPr>
        <w:t>经自评，2022年我局采购项目财政资金收支规范、管理制度健全，绩效目标任务全面完成，重点项目效益成效明显，财政资金使用效益明显提高，整体支出绩效自评为优秀</w:t>
      </w:r>
      <w:r>
        <w:rPr>
          <w:rFonts w:hint="eastAsia" w:ascii="仿宋_GB2312" w:hAnsi="仿宋_GB2312" w:eastAsia="仿宋_GB2312" w:cs="仿宋_GB2312"/>
          <w:color w:val="auto"/>
          <w:sz w:val="32"/>
          <w:szCs w:val="32"/>
          <w:highlight w:val="none"/>
        </w:rPr>
        <w:t>。绩效自评报告详见附件。</w:t>
      </w:r>
      <w:r>
        <w:rPr>
          <w:rFonts w:ascii="仿宋_GB2312" w:eastAsia="仿宋_GB2312"/>
          <w:b/>
          <w:color w:val="auto"/>
          <w:sz w:val="32"/>
          <w:szCs w:val="32"/>
          <w:highlight w:val="none"/>
        </w:rPr>
        <w:br w:type="page"/>
      </w:r>
    </w:p>
    <w:p>
      <w:pPr>
        <w:numPr>
          <w:ilvl w:val="0"/>
          <w:numId w:val="4"/>
        </w:numPr>
        <w:spacing w:line="600" w:lineRule="exact"/>
        <w:ind w:firstLine="660" w:firstLineChars="150"/>
        <w:jc w:val="center"/>
        <w:outlineLvl w:val="0"/>
        <w:rPr>
          <w:rStyle w:val="28"/>
          <w:rFonts w:ascii="黑体" w:hAnsi="黑体" w:eastAsia="黑体"/>
          <w:b w:val="0"/>
          <w:color w:val="auto"/>
          <w:highlight w:val="none"/>
        </w:rPr>
      </w:pPr>
      <w:bookmarkStart w:id="71" w:name="_Toc15377225"/>
      <w:bookmarkStart w:id="72" w:name="_Toc23740"/>
      <w:bookmarkStart w:id="73" w:name="_Toc15396613"/>
      <w:r>
        <w:rPr>
          <w:rFonts w:hint="eastAsia" w:ascii="黑体" w:hAnsi="黑体" w:eastAsia="黑体"/>
          <w:color w:val="auto"/>
          <w:sz w:val="44"/>
          <w:szCs w:val="44"/>
          <w:highlight w:val="none"/>
        </w:rPr>
        <w:t>名</w:t>
      </w:r>
      <w:r>
        <w:rPr>
          <w:rStyle w:val="28"/>
          <w:rFonts w:hint="eastAsia" w:ascii="黑体" w:hAnsi="黑体" w:eastAsia="黑体"/>
          <w:b w:val="0"/>
          <w:color w:val="auto"/>
          <w:highlight w:val="none"/>
        </w:rPr>
        <w:t>词解释</w:t>
      </w:r>
      <w:bookmarkEnd w:id="71"/>
      <w:bookmarkEnd w:id="72"/>
      <w:bookmarkEnd w:id="73"/>
    </w:p>
    <w:p>
      <w:pPr>
        <w:spacing w:line="600" w:lineRule="exact"/>
        <w:jc w:val="left"/>
        <w:rPr>
          <w:rFonts w:ascii="宋体"/>
          <w:b/>
          <w:color w:val="auto"/>
          <w:sz w:val="44"/>
          <w:szCs w:val="44"/>
          <w:highlight w:val="none"/>
        </w:rPr>
      </w:pPr>
    </w:p>
    <w:p>
      <w:pPr>
        <w:pStyle w:val="26"/>
        <w:spacing w:line="560" w:lineRule="exact"/>
        <w:ind w:firstLine="640" w:firstLineChars="200"/>
        <w:outlineLvl w:val="1"/>
        <w:rPr>
          <w:rFonts w:ascii="仿宋_GB2312" w:eastAsia="仿宋_GB2312"/>
          <w:color w:val="auto"/>
          <w:sz w:val="32"/>
          <w:szCs w:val="32"/>
          <w:highlight w:val="none"/>
        </w:rPr>
      </w:pPr>
      <w:bookmarkStart w:id="74" w:name="_Toc3908"/>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bookmarkEnd w:id="74"/>
    </w:p>
    <w:p>
      <w:pPr>
        <w:pStyle w:val="26"/>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w:t>
      </w:r>
      <w:r>
        <w:rPr>
          <w:rFonts w:ascii="仿宋_GB2312" w:eastAsia="仿宋_GB2312"/>
          <w:color w:val="auto"/>
          <w:sz w:val="32"/>
          <w:szCs w:val="32"/>
          <w:highlight w:val="none"/>
        </w:rPr>
        <w:t>.</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6"/>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年末结转和结余：指单位按有关规定结转到下年或以后年度继续使用的资金。</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4</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一般公共服务（类）政府办公厅（室）及相关机构事务（款）</w:t>
      </w:r>
      <w:r>
        <w:rPr>
          <w:rFonts w:hint="eastAsia" w:ascii="仿宋_GB2312" w:eastAsia="仿宋_GB2312"/>
          <w:color w:val="auto"/>
          <w:sz w:val="32"/>
          <w:szCs w:val="32"/>
          <w:highlight w:val="none"/>
          <w:lang w:val="en-US" w:eastAsia="zh-CN"/>
        </w:rPr>
        <w:t>行政运行</w:t>
      </w:r>
      <w:r>
        <w:rPr>
          <w:rFonts w:hint="eastAsia" w:ascii="仿宋_GB2312" w:eastAsia="仿宋_GB2312"/>
          <w:color w:val="auto"/>
          <w:sz w:val="32"/>
          <w:szCs w:val="32"/>
          <w:highlight w:val="none"/>
        </w:rPr>
        <w:t>（项）：指</w:t>
      </w:r>
      <w:r>
        <w:rPr>
          <w:rFonts w:hint="eastAsia" w:ascii="仿宋_GB2312" w:eastAsia="仿宋_GB2312"/>
          <w:color w:val="auto"/>
          <w:sz w:val="32"/>
          <w:szCs w:val="32"/>
          <w:highlight w:val="none"/>
          <w:lang w:val="en-US" w:eastAsia="zh-CN"/>
        </w:rPr>
        <w:t>行政单位（包括实行公务员管理的事业单位）的基本支出</w:t>
      </w:r>
      <w:r>
        <w:rPr>
          <w:rFonts w:hint="eastAsia" w:ascii="仿宋_GB2312" w:eastAsia="仿宋_GB2312"/>
          <w:color w:val="auto"/>
          <w:sz w:val="32"/>
          <w:szCs w:val="32"/>
          <w:highlight w:val="none"/>
        </w:rPr>
        <w:t>。</w:t>
      </w:r>
    </w:p>
    <w:p>
      <w:pPr>
        <w:pStyle w:val="2"/>
        <w:ind w:firstLine="640" w:firstLineChars="200"/>
        <w:rPr>
          <w:rFonts w:hint="eastAsia" w:ascii="仿宋_GB2312" w:eastAsia="仿宋_GB2312"/>
          <w:color w:val="auto"/>
          <w:sz w:val="32"/>
          <w:szCs w:val="32"/>
          <w:highlight w:val="none"/>
        </w:rPr>
      </w:pPr>
      <w:r>
        <w:rPr>
          <w:rFonts w:hint="eastAsia"/>
          <w:color w:val="auto"/>
          <w:sz w:val="32"/>
          <w:szCs w:val="32"/>
          <w:highlight w:val="none"/>
          <w:lang w:val="en-US" w:eastAsia="zh-CN"/>
        </w:rPr>
        <w:t>5.</w:t>
      </w:r>
      <w:r>
        <w:rPr>
          <w:rFonts w:hint="eastAsia" w:ascii="仿宋_GB2312" w:eastAsia="仿宋_GB2312"/>
          <w:color w:val="auto"/>
          <w:sz w:val="32"/>
          <w:szCs w:val="32"/>
          <w:highlight w:val="none"/>
        </w:rPr>
        <w:t>一般公共服务（类）政府办公厅（室）及相关机构事务（款）</w:t>
      </w:r>
      <w:r>
        <w:rPr>
          <w:rFonts w:hint="eastAsia"/>
          <w:color w:val="auto"/>
          <w:sz w:val="32"/>
          <w:szCs w:val="32"/>
          <w:highlight w:val="none"/>
          <w:lang w:val="en-US" w:eastAsia="zh-CN"/>
        </w:rPr>
        <w:t>一般行政管理事务</w:t>
      </w:r>
      <w:r>
        <w:rPr>
          <w:rFonts w:hint="eastAsia" w:ascii="仿宋_GB2312" w:eastAsia="仿宋_GB2312"/>
          <w:color w:val="auto"/>
          <w:sz w:val="32"/>
          <w:szCs w:val="32"/>
          <w:highlight w:val="none"/>
        </w:rPr>
        <w:t>（项）：指</w:t>
      </w:r>
      <w:r>
        <w:rPr>
          <w:rFonts w:hint="eastAsia" w:ascii="仿宋_GB2312" w:eastAsia="仿宋_GB2312"/>
          <w:color w:val="auto"/>
          <w:sz w:val="32"/>
          <w:szCs w:val="32"/>
          <w:highlight w:val="none"/>
          <w:lang w:val="en-US" w:eastAsia="zh-CN"/>
        </w:rPr>
        <w:t>行政单位（包括实行公务员管理的事业单位）</w:t>
      </w:r>
      <w:r>
        <w:rPr>
          <w:rFonts w:hint="eastAsia"/>
          <w:color w:val="auto"/>
          <w:sz w:val="32"/>
          <w:szCs w:val="32"/>
          <w:highlight w:val="none"/>
          <w:lang w:val="en-US" w:eastAsia="zh-CN"/>
        </w:rPr>
        <w:t>未单独设置项级科目的其他项目支出</w:t>
      </w:r>
      <w:r>
        <w:rPr>
          <w:rFonts w:hint="eastAsia" w:ascii="仿宋_GB2312" w:eastAsia="仿宋_GB2312"/>
          <w:color w:val="auto"/>
          <w:sz w:val="32"/>
          <w:szCs w:val="32"/>
          <w:highlight w:val="none"/>
        </w:rPr>
        <w:t>。</w:t>
      </w:r>
    </w:p>
    <w:p>
      <w:pPr>
        <w:pStyle w:val="2"/>
        <w:ind w:firstLine="640" w:firstLineChars="200"/>
        <w:rPr>
          <w:rFonts w:hint="eastAsia" w:ascii="仿宋_GB2312" w:eastAsia="仿宋_GB2312"/>
          <w:color w:val="auto"/>
          <w:sz w:val="32"/>
          <w:szCs w:val="32"/>
          <w:highlight w:val="none"/>
        </w:rPr>
      </w:pPr>
      <w:r>
        <w:rPr>
          <w:rFonts w:hint="eastAsia"/>
          <w:color w:val="auto"/>
          <w:sz w:val="32"/>
          <w:szCs w:val="32"/>
          <w:highlight w:val="none"/>
          <w:lang w:val="en-US" w:eastAsia="zh-CN"/>
        </w:rPr>
        <w:t>6.</w:t>
      </w:r>
      <w:r>
        <w:rPr>
          <w:rFonts w:hint="eastAsia" w:ascii="仿宋_GB2312" w:eastAsia="仿宋_GB2312"/>
          <w:color w:val="auto"/>
          <w:sz w:val="32"/>
          <w:szCs w:val="32"/>
          <w:highlight w:val="none"/>
        </w:rPr>
        <w:t>一般公共服务（类）政府办公厅（室）及相关机构事务（款）</w:t>
      </w:r>
      <w:r>
        <w:rPr>
          <w:rFonts w:hint="eastAsia"/>
          <w:color w:val="auto"/>
          <w:sz w:val="32"/>
          <w:szCs w:val="32"/>
          <w:highlight w:val="none"/>
          <w:lang w:val="en-US" w:eastAsia="zh-CN"/>
        </w:rPr>
        <w:t>事业运行</w:t>
      </w:r>
      <w:r>
        <w:rPr>
          <w:rFonts w:hint="eastAsia" w:ascii="仿宋_GB2312" w:eastAsia="仿宋_GB2312"/>
          <w:color w:val="auto"/>
          <w:sz w:val="32"/>
          <w:szCs w:val="32"/>
          <w:highlight w:val="none"/>
        </w:rPr>
        <w:t>（项）：指</w:t>
      </w:r>
      <w:r>
        <w:rPr>
          <w:rFonts w:hint="eastAsia"/>
          <w:color w:val="auto"/>
          <w:sz w:val="32"/>
          <w:szCs w:val="32"/>
          <w:highlight w:val="none"/>
          <w:lang w:val="en-US" w:eastAsia="zh-CN"/>
        </w:rPr>
        <w:t>反映事业单位的基本支出，不包括</w:t>
      </w:r>
      <w:r>
        <w:rPr>
          <w:rFonts w:hint="eastAsia" w:ascii="仿宋_GB2312" w:eastAsia="仿宋_GB2312"/>
          <w:color w:val="auto"/>
          <w:sz w:val="32"/>
          <w:szCs w:val="32"/>
          <w:highlight w:val="none"/>
          <w:lang w:val="en-US" w:eastAsia="zh-CN"/>
        </w:rPr>
        <w:t>行政单位（包括实行公务员管理的事业单位）</w:t>
      </w:r>
      <w:r>
        <w:rPr>
          <w:rFonts w:hint="eastAsia"/>
          <w:color w:val="auto"/>
          <w:sz w:val="32"/>
          <w:szCs w:val="32"/>
          <w:highlight w:val="none"/>
          <w:lang w:val="en-US" w:eastAsia="zh-CN"/>
        </w:rPr>
        <w:t>后勤服务中心、医务室等附属事业单位</w:t>
      </w:r>
      <w:r>
        <w:rPr>
          <w:rFonts w:hint="eastAsia" w:ascii="仿宋_GB2312" w:eastAsia="仿宋_GB2312"/>
          <w:color w:val="auto"/>
          <w:sz w:val="32"/>
          <w:szCs w:val="32"/>
          <w:highlight w:val="none"/>
        </w:rPr>
        <w:t>。</w:t>
      </w:r>
    </w:p>
    <w:p>
      <w:pPr>
        <w:pStyle w:val="2"/>
        <w:ind w:firstLine="640" w:firstLineChars="200"/>
      </w:pPr>
      <w:r>
        <w:rPr>
          <w:rFonts w:hint="eastAsia"/>
          <w:color w:val="auto"/>
          <w:sz w:val="32"/>
          <w:szCs w:val="32"/>
          <w:highlight w:val="none"/>
          <w:lang w:val="en-US" w:eastAsia="zh-CN"/>
        </w:rPr>
        <w:t>7.</w:t>
      </w:r>
      <w:r>
        <w:rPr>
          <w:rFonts w:hint="eastAsia" w:ascii="仿宋_GB2312" w:eastAsia="仿宋_GB2312"/>
          <w:color w:val="auto"/>
          <w:sz w:val="32"/>
          <w:szCs w:val="32"/>
          <w:highlight w:val="none"/>
        </w:rPr>
        <w:t>一般公共服务（类）政府办公厅（室）及相关机构事务（款）</w:t>
      </w:r>
      <w:r>
        <w:rPr>
          <w:rFonts w:hint="eastAsia"/>
          <w:color w:val="auto"/>
          <w:sz w:val="32"/>
          <w:szCs w:val="32"/>
          <w:highlight w:val="none"/>
          <w:lang w:val="en-US" w:eastAsia="zh-CN"/>
        </w:rPr>
        <w:t>其他政府办公厅（室）及相关机构事务支出</w:t>
      </w:r>
      <w:r>
        <w:rPr>
          <w:rFonts w:hint="eastAsia" w:ascii="仿宋_GB2312" w:eastAsia="仿宋_GB2312"/>
          <w:color w:val="auto"/>
          <w:sz w:val="32"/>
          <w:szCs w:val="32"/>
          <w:highlight w:val="none"/>
        </w:rPr>
        <w:t>（项）：指</w:t>
      </w:r>
      <w:r>
        <w:rPr>
          <w:rFonts w:hint="eastAsia"/>
          <w:color w:val="auto"/>
          <w:sz w:val="32"/>
          <w:szCs w:val="32"/>
          <w:highlight w:val="none"/>
          <w:lang w:val="en-US" w:eastAsia="zh-CN"/>
        </w:rPr>
        <w:t>反映除上述项目以外的其他政府办公厅（室）及相关机构事务支出</w:t>
      </w:r>
      <w:r>
        <w:rPr>
          <w:rFonts w:hint="eastAsia" w:ascii="仿宋_GB2312" w:eastAsia="仿宋_GB2312"/>
          <w:color w:val="auto"/>
          <w:sz w:val="32"/>
          <w:szCs w:val="32"/>
          <w:highlight w:val="none"/>
        </w:rPr>
        <w:t>。</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8</w:t>
      </w:r>
      <w:r>
        <w:rPr>
          <w:rFonts w:ascii="仿宋_GB2312" w:eastAsia="仿宋_GB2312"/>
          <w:color w:val="auto"/>
          <w:sz w:val="32"/>
          <w:szCs w:val="32"/>
          <w:highlight w:val="none"/>
        </w:rPr>
        <w:t>.</w:t>
      </w:r>
      <w:r>
        <w:rPr>
          <w:rFonts w:hint="eastAsia" w:ascii="仿宋_GB2312" w:eastAsia="仿宋_GB2312"/>
          <w:color w:val="auto"/>
          <w:sz w:val="32"/>
          <w:szCs w:val="32"/>
          <w:highlight w:val="none"/>
        </w:rPr>
        <w:t>社会保障和就业（类）</w:t>
      </w:r>
      <w:r>
        <w:rPr>
          <w:rFonts w:hint="eastAsia" w:ascii="仿宋_GB2312" w:eastAsia="仿宋_GB2312"/>
          <w:color w:val="auto"/>
          <w:sz w:val="32"/>
          <w:szCs w:val="32"/>
          <w:highlight w:val="none"/>
          <w:lang w:val="en-US" w:eastAsia="zh-CN"/>
        </w:rPr>
        <w:t>行政事业单位养老支出</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val="en-US" w:eastAsia="zh-CN"/>
        </w:rPr>
        <w:t>行政单位离退休</w:t>
      </w:r>
      <w:r>
        <w:rPr>
          <w:rFonts w:hint="eastAsia" w:ascii="仿宋_GB2312" w:eastAsia="仿宋_GB2312"/>
          <w:color w:val="auto"/>
          <w:sz w:val="32"/>
          <w:szCs w:val="32"/>
          <w:highlight w:val="none"/>
        </w:rPr>
        <w:t>（项）：指</w:t>
      </w:r>
      <w:r>
        <w:rPr>
          <w:rFonts w:hint="eastAsia" w:ascii="仿宋_GB2312" w:eastAsia="仿宋_GB2312"/>
          <w:color w:val="auto"/>
          <w:sz w:val="32"/>
          <w:szCs w:val="32"/>
          <w:highlight w:val="none"/>
          <w:lang w:val="en-US" w:eastAsia="zh-CN"/>
        </w:rPr>
        <w:t>反映行政单位（包括实行公务员管理的事业单位）开支的离退休经费</w:t>
      </w: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9</w:t>
      </w:r>
      <w:r>
        <w:rPr>
          <w:rFonts w:ascii="仿宋_GB2312" w:eastAsia="仿宋_GB2312"/>
          <w:color w:val="auto"/>
          <w:sz w:val="32"/>
          <w:szCs w:val="32"/>
          <w:highlight w:val="none"/>
        </w:rPr>
        <w:t>.</w:t>
      </w:r>
      <w:r>
        <w:rPr>
          <w:rFonts w:hint="eastAsia" w:ascii="仿宋_GB2312" w:eastAsia="仿宋_GB2312"/>
          <w:color w:val="auto"/>
          <w:sz w:val="32"/>
          <w:szCs w:val="32"/>
          <w:highlight w:val="none"/>
        </w:rPr>
        <w:t>社会保障和就业（类）</w:t>
      </w:r>
      <w:r>
        <w:rPr>
          <w:rFonts w:hint="eastAsia" w:ascii="仿宋_GB2312" w:eastAsia="仿宋_GB2312"/>
          <w:color w:val="auto"/>
          <w:sz w:val="32"/>
          <w:szCs w:val="32"/>
          <w:highlight w:val="none"/>
          <w:lang w:val="en-US" w:eastAsia="zh-CN"/>
        </w:rPr>
        <w:t>行政事业单位养老支出</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val="en-US" w:eastAsia="zh-CN"/>
        </w:rPr>
        <w:t xml:space="preserve">  机关事业单位基本养老保险缴费支出</w:t>
      </w:r>
      <w:r>
        <w:rPr>
          <w:rFonts w:hint="eastAsia" w:ascii="仿宋_GB2312" w:eastAsia="仿宋_GB2312"/>
          <w:color w:val="auto"/>
          <w:sz w:val="32"/>
          <w:szCs w:val="32"/>
          <w:highlight w:val="none"/>
        </w:rPr>
        <w:t>（项）：指</w:t>
      </w:r>
      <w:r>
        <w:rPr>
          <w:rFonts w:hint="eastAsia" w:ascii="仿宋_GB2312" w:eastAsia="仿宋_GB2312"/>
          <w:color w:val="auto"/>
          <w:sz w:val="32"/>
          <w:szCs w:val="32"/>
          <w:highlight w:val="none"/>
          <w:lang w:val="en-US" w:eastAsia="zh-CN"/>
        </w:rPr>
        <w:t>反映机关事业单位实施养老保险制度由单位缴纳的基本养老保险费支出</w:t>
      </w: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10</w:t>
      </w:r>
      <w:r>
        <w:rPr>
          <w:rFonts w:ascii="仿宋_GB2312" w:eastAsia="仿宋_GB2312"/>
          <w:color w:val="auto"/>
          <w:sz w:val="32"/>
          <w:szCs w:val="32"/>
          <w:highlight w:val="none"/>
        </w:rPr>
        <w:t>.</w:t>
      </w:r>
      <w:r>
        <w:rPr>
          <w:rFonts w:hint="eastAsia" w:ascii="仿宋_GB2312" w:eastAsia="仿宋_GB2312"/>
          <w:color w:val="auto"/>
          <w:sz w:val="32"/>
          <w:szCs w:val="32"/>
          <w:highlight w:val="none"/>
        </w:rPr>
        <w:t>社会保障和就业（类）</w:t>
      </w:r>
      <w:r>
        <w:rPr>
          <w:rFonts w:hint="eastAsia" w:ascii="仿宋_GB2312" w:eastAsia="仿宋_GB2312"/>
          <w:color w:val="auto"/>
          <w:sz w:val="32"/>
          <w:szCs w:val="32"/>
          <w:highlight w:val="none"/>
          <w:lang w:val="en-US" w:eastAsia="zh-CN"/>
        </w:rPr>
        <w:t>行政事业单位养老支出</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val="en-US" w:eastAsia="zh-CN"/>
        </w:rPr>
        <w:t xml:space="preserve">  其他行政事业单位养老支出</w:t>
      </w:r>
      <w:r>
        <w:rPr>
          <w:rFonts w:hint="eastAsia" w:ascii="仿宋_GB2312" w:eastAsia="仿宋_GB2312"/>
          <w:color w:val="auto"/>
          <w:sz w:val="32"/>
          <w:szCs w:val="32"/>
          <w:highlight w:val="none"/>
        </w:rPr>
        <w:t>（项）：指</w:t>
      </w:r>
      <w:r>
        <w:rPr>
          <w:rFonts w:hint="eastAsia" w:ascii="仿宋_GB2312" w:eastAsia="仿宋_GB2312"/>
          <w:color w:val="auto"/>
          <w:sz w:val="32"/>
          <w:szCs w:val="32"/>
          <w:highlight w:val="none"/>
          <w:lang w:val="en-US" w:eastAsia="zh-CN"/>
        </w:rPr>
        <w:t>反映除上述项目以外其他用于行政事业单位养老方面的支出</w:t>
      </w: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11</w:t>
      </w:r>
      <w:r>
        <w:rPr>
          <w:rFonts w:ascii="仿宋_GB2312" w:eastAsia="仿宋_GB2312"/>
          <w:color w:val="auto"/>
          <w:sz w:val="32"/>
          <w:szCs w:val="32"/>
          <w:highlight w:val="none"/>
        </w:rPr>
        <w:t>.</w:t>
      </w:r>
      <w:r>
        <w:rPr>
          <w:rFonts w:hint="eastAsia" w:ascii="仿宋_GB2312" w:eastAsia="仿宋_GB2312"/>
          <w:color w:val="auto"/>
          <w:sz w:val="32"/>
          <w:szCs w:val="32"/>
          <w:highlight w:val="none"/>
        </w:rPr>
        <w:t>社会保障和就业（类）</w:t>
      </w:r>
      <w:r>
        <w:rPr>
          <w:rFonts w:hint="eastAsia" w:ascii="仿宋_GB2312" w:eastAsia="仿宋_GB2312"/>
          <w:color w:val="auto"/>
          <w:sz w:val="32"/>
          <w:szCs w:val="32"/>
          <w:highlight w:val="none"/>
          <w:lang w:val="en-US" w:eastAsia="zh-CN"/>
        </w:rPr>
        <w:t>其他社会保障和就业支出</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val="en-US" w:eastAsia="zh-CN"/>
        </w:rPr>
        <w:t xml:space="preserve">  其他社会保障和就业支出</w:t>
      </w:r>
      <w:r>
        <w:rPr>
          <w:rFonts w:hint="eastAsia" w:ascii="仿宋_GB2312" w:eastAsia="仿宋_GB2312"/>
          <w:color w:val="auto"/>
          <w:sz w:val="32"/>
          <w:szCs w:val="32"/>
          <w:highlight w:val="none"/>
        </w:rPr>
        <w:t>（项）：指</w:t>
      </w:r>
      <w:r>
        <w:rPr>
          <w:rFonts w:hint="eastAsia" w:ascii="仿宋_GB2312" w:eastAsia="仿宋_GB2312"/>
          <w:color w:val="auto"/>
          <w:sz w:val="32"/>
          <w:szCs w:val="32"/>
          <w:highlight w:val="none"/>
          <w:lang w:val="en-US" w:eastAsia="zh-CN"/>
        </w:rPr>
        <w:t>反映除上述项目以外其他用于社会保障就业方面的支出</w:t>
      </w:r>
      <w:r>
        <w:rPr>
          <w:rFonts w:hint="eastAsia" w:ascii="仿宋_GB2312" w:eastAsia="仿宋_GB2312"/>
          <w:color w:val="auto"/>
          <w:sz w:val="32"/>
          <w:szCs w:val="32"/>
          <w:highlight w:val="none"/>
        </w:rPr>
        <w:t>。</w:t>
      </w:r>
    </w:p>
    <w:p>
      <w:pPr>
        <w:ind w:firstLine="640" w:firstLineChars="200"/>
        <w:rPr>
          <w:rFonts w:hint="eastAsia"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lang w:val="en-US" w:eastAsia="zh-CN"/>
        </w:rPr>
        <w:t>2</w:t>
      </w:r>
      <w:r>
        <w:rPr>
          <w:rFonts w:ascii="仿宋_GB2312" w:eastAsia="仿宋_GB2312"/>
          <w:color w:val="auto"/>
          <w:sz w:val="32"/>
          <w:szCs w:val="32"/>
          <w:highlight w:val="none"/>
        </w:rPr>
        <w:t>.</w:t>
      </w:r>
      <w:r>
        <w:rPr>
          <w:rFonts w:hint="eastAsia" w:ascii="仿宋_GB2312" w:eastAsia="仿宋_GB2312"/>
          <w:color w:val="auto"/>
          <w:sz w:val="32"/>
          <w:szCs w:val="32"/>
          <w:highlight w:val="none"/>
          <w:lang w:eastAsia="zh-CN"/>
        </w:rPr>
        <w:t>卫生健康</w:t>
      </w:r>
      <w:r>
        <w:rPr>
          <w:rFonts w:hint="eastAsia" w:ascii="仿宋_GB2312" w:eastAsia="仿宋_GB2312"/>
          <w:color w:val="auto"/>
          <w:sz w:val="32"/>
          <w:szCs w:val="32"/>
          <w:highlight w:val="none"/>
        </w:rPr>
        <w:t>（类）行政事业单位医疗（款）行政单位医疗（项）：指</w:t>
      </w:r>
      <w:r>
        <w:rPr>
          <w:rFonts w:hint="eastAsia" w:ascii="仿宋_GB2312" w:eastAsia="仿宋_GB2312"/>
          <w:color w:val="auto"/>
          <w:sz w:val="32"/>
          <w:szCs w:val="32"/>
          <w:highlight w:val="none"/>
          <w:lang w:val="en-US" w:eastAsia="zh-CN"/>
        </w:rPr>
        <w:t>反映财政部门安排的行政单位（包括实行公务员管理的事业单位）基本医疗保险缴费经费，未参加医疗保险的行政单位的公费医疗经费，按国家规定享受离休人员、红军老战士待遇人员的医疗经费</w:t>
      </w: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lang w:val="en-US" w:eastAsia="zh-CN"/>
        </w:rPr>
        <w:t>3</w:t>
      </w:r>
      <w:r>
        <w:rPr>
          <w:rFonts w:ascii="仿宋_GB2312" w:eastAsia="仿宋_GB2312"/>
          <w:color w:val="auto"/>
          <w:sz w:val="32"/>
          <w:szCs w:val="32"/>
          <w:highlight w:val="none"/>
        </w:rPr>
        <w:t>.</w:t>
      </w:r>
      <w:r>
        <w:rPr>
          <w:rFonts w:hint="eastAsia" w:ascii="仿宋_GB2312" w:eastAsia="仿宋_GB2312"/>
          <w:color w:val="auto"/>
          <w:sz w:val="32"/>
          <w:szCs w:val="32"/>
          <w:highlight w:val="none"/>
          <w:lang w:eastAsia="zh-CN"/>
        </w:rPr>
        <w:t>卫生健康</w:t>
      </w:r>
      <w:r>
        <w:rPr>
          <w:rFonts w:hint="eastAsia" w:ascii="仿宋_GB2312" w:eastAsia="仿宋_GB2312"/>
          <w:color w:val="auto"/>
          <w:sz w:val="32"/>
          <w:szCs w:val="32"/>
          <w:highlight w:val="none"/>
        </w:rPr>
        <w:t>（类）行政事业单位医疗（款）</w:t>
      </w:r>
      <w:r>
        <w:rPr>
          <w:rFonts w:hint="eastAsia" w:ascii="仿宋_GB2312" w:eastAsia="仿宋_GB2312"/>
          <w:color w:val="auto"/>
          <w:sz w:val="32"/>
          <w:szCs w:val="32"/>
          <w:highlight w:val="none"/>
          <w:lang w:val="en-US" w:eastAsia="zh-CN"/>
        </w:rPr>
        <w:t>事业</w:t>
      </w:r>
      <w:r>
        <w:rPr>
          <w:rFonts w:hint="eastAsia" w:ascii="仿宋_GB2312" w:eastAsia="仿宋_GB2312"/>
          <w:color w:val="auto"/>
          <w:sz w:val="32"/>
          <w:szCs w:val="32"/>
          <w:highlight w:val="none"/>
        </w:rPr>
        <w:t>单位医疗（项）：指</w:t>
      </w:r>
      <w:r>
        <w:rPr>
          <w:rFonts w:hint="eastAsia" w:ascii="仿宋_GB2312" w:eastAsia="仿宋_GB2312"/>
          <w:color w:val="auto"/>
          <w:sz w:val="32"/>
          <w:szCs w:val="32"/>
          <w:highlight w:val="none"/>
          <w:lang w:val="en-US" w:eastAsia="zh-CN"/>
        </w:rPr>
        <w:t>财政部门安排的事业单位基本医疗保险缴费经费，未参加医疗保险的事业单位的公费医疗经费，按国家规定享受离休人员待遇的医疗经费</w:t>
      </w: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lang w:val="en-US" w:eastAsia="zh-CN"/>
        </w:rPr>
        <w:t>4</w:t>
      </w:r>
      <w:r>
        <w:rPr>
          <w:rFonts w:ascii="仿宋_GB2312" w:eastAsia="仿宋_GB2312"/>
          <w:color w:val="auto"/>
          <w:sz w:val="32"/>
          <w:szCs w:val="32"/>
          <w:highlight w:val="none"/>
        </w:rPr>
        <w:t>.</w:t>
      </w:r>
      <w:r>
        <w:rPr>
          <w:rFonts w:hint="eastAsia" w:ascii="仿宋_GB2312" w:eastAsia="仿宋_GB2312"/>
          <w:color w:val="auto"/>
          <w:sz w:val="32"/>
          <w:szCs w:val="32"/>
          <w:highlight w:val="none"/>
          <w:lang w:eastAsia="zh-CN"/>
        </w:rPr>
        <w:t>卫生健康</w:t>
      </w:r>
      <w:r>
        <w:rPr>
          <w:rFonts w:hint="eastAsia" w:ascii="仿宋_GB2312" w:eastAsia="仿宋_GB2312"/>
          <w:color w:val="auto"/>
          <w:sz w:val="32"/>
          <w:szCs w:val="32"/>
          <w:highlight w:val="none"/>
        </w:rPr>
        <w:t>（类）行政事业单位医疗（款）</w:t>
      </w:r>
      <w:r>
        <w:rPr>
          <w:rFonts w:hint="eastAsia" w:ascii="仿宋_GB2312" w:eastAsia="仿宋_GB2312"/>
          <w:color w:val="auto"/>
          <w:sz w:val="32"/>
          <w:szCs w:val="32"/>
          <w:highlight w:val="none"/>
          <w:lang w:val="en-US" w:eastAsia="zh-CN"/>
        </w:rPr>
        <w:t>公务员医疗补助</w:t>
      </w:r>
      <w:r>
        <w:rPr>
          <w:rFonts w:hint="eastAsia" w:ascii="仿宋_GB2312" w:eastAsia="仿宋_GB2312"/>
          <w:color w:val="auto"/>
          <w:sz w:val="32"/>
          <w:szCs w:val="32"/>
          <w:highlight w:val="none"/>
        </w:rPr>
        <w:t>（项）：指</w:t>
      </w:r>
      <w:r>
        <w:rPr>
          <w:rFonts w:hint="eastAsia" w:ascii="仿宋_GB2312" w:eastAsia="仿宋_GB2312"/>
          <w:color w:val="auto"/>
          <w:sz w:val="32"/>
          <w:szCs w:val="32"/>
          <w:highlight w:val="none"/>
          <w:lang w:val="en-US" w:eastAsia="zh-CN"/>
        </w:rPr>
        <w:t>反映财政部门安排的公务员医疗补助经费</w:t>
      </w: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lang w:val="en-US" w:eastAsia="zh-CN"/>
        </w:rPr>
        <w:t>5</w:t>
      </w:r>
      <w:r>
        <w:rPr>
          <w:rFonts w:ascii="仿宋_GB2312" w:eastAsia="仿宋_GB2312"/>
          <w:color w:val="auto"/>
          <w:sz w:val="32"/>
          <w:szCs w:val="32"/>
          <w:highlight w:val="none"/>
        </w:rPr>
        <w:t>.</w:t>
      </w:r>
      <w:r>
        <w:rPr>
          <w:rFonts w:hint="eastAsia" w:ascii="仿宋_GB2312" w:eastAsia="仿宋_GB2312"/>
          <w:color w:val="auto"/>
          <w:sz w:val="32"/>
          <w:szCs w:val="32"/>
          <w:highlight w:val="none"/>
          <w:lang w:eastAsia="zh-CN"/>
        </w:rPr>
        <w:t>卫生健康</w:t>
      </w:r>
      <w:r>
        <w:rPr>
          <w:rFonts w:hint="eastAsia" w:ascii="仿宋_GB2312" w:eastAsia="仿宋_GB2312"/>
          <w:color w:val="auto"/>
          <w:sz w:val="32"/>
          <w:szCs w:val="32"/>
          <w:highlight w:val="none"/>
        </w:rPr>
        <w:t>（类）行政事业单位医疗（款）</w:t>
      </w:r>
      <w:r>
        <w:rPr>
          <w:rFonts w:hint="eastAsia" w:ascii="仿宋_GB2312" w:eastAsia="仿宋_GB2312"/>
          <w:color w:val="auto"/>
          <w:sz w:val="32"/>
          <w:szCs w:val="32"/>
          <w:highlight w:val="none"/>
          <w:lang w:val="en-US" w:eastAsia="zh-CN"/>
        </w:rPr>
        <w:t>其他行政事业单位医疗支出</w:t>
      </w:r>
      <w:r>
        <w:rPr>
          <w:rFonts w:hint="eastAsia" w:ascii="仿宋_GB2312" w:eastAsia="仿宋_GB2312"/>
          <w:color w:val="auto"/>
          <w:sz w:val="32"/>
          <w:szCs w:val="32"/>
          <w:highlight w:val="none"/>
        </w:rPr>
        <w:t>（项）：指</w:t>
      </w:r>
      <w:r>
        <w:rPr>
          <w:rFonts w:hint="eastAsia" w:ascii="仿宋_GB2312" w:eastAsia="仿宋_GB2312"/>
          <w:color w:val="auto"/>
          <w:sz w:val="32"/>
          <w:szCs w:val="32"/>
          <w:highlight w:val="none"/>
          <w:lang w:val="en-US" w:eastAsia="zh-CN"/>
        </w:rPr>
        <w:t>反映除上述项目以外的其他用于行政事业单位医疗方面的支出</w:t>
      </w: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16</w:t>
      </w:r>
      <w:r>
        <w:rPr>
          <w:rFonts w:ascii="仿宋_GB2312" w:eastAsia="仿宋_GB2312"/>
          <w:color w:val="auto"/>
          <w:sz w:val="32"/>
          <w:szCs w:val="32"/>
          <w:highlight w:val="none"/>
        </w:rPr>
        <w:t>.</w:t>
      </w:r>
      <w:r>
        <w:rPr>
          <w:rFonts w:hint="eastAsia" w:ascii="仿宋_GB2312" w:eastAsia="仿宋_GB2312"/>
          <w:color w:val="auto"/>
          <w:sz w:val="32"/>
          <w:szCs w:val="32"/>
          <w:highlight w:val="none"/>
        </w:rPr>
        <w:t>住房保障（类）</w:t>
      </w:r>
      <w:r>
        <w:rPr>
          <w:rFonts w:hint="eastAsia" w:ascii="仿宋_GB2312" w:eastAsia="仿宋_GB2312"/>
          <w:color w:val="auto"/>
          <w:sz w:val="32"/>
          <w:szCs w:val="32"/>
          <w:highlight w:val="none"/>
          <w:lang w:val="en-US" w:eastAsia="zh-CN"/>
        </w:rPr>
        <w:t>住房改革支出</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val="en-US" w:eastAsia="zh-CN"/>
        </w:rPr>
        <w:t>住房公积金</w:t>
      </w:r>
      <w:r>
        <w:rPr>
          <w:rFonts w:hint="eastAsia" w:ascii="仿宋_GB2312" w:eastAsia="仿宋_GB2312"/>
          <w:color w:val="auto"/>
          <w:sz w:val="32"/>
          <w:szCs w:val="32"/>
          <w:highlight w:val="none"/>
        </w:rPr>
        <w:t>（项）：指</w:t>
      </w:r>
      <w:r>
        <w:rPr>
          <w:rFonts w:hint="eastAsia" w:ascii="仿宋_GB2312" w:eastAsia="仿宋_GB2312"/>
          <w:color w:val="auto"/>
          <w:sz w:val="32"/>
          <w:szCs w:val="32"/>
          <w:highlight w:val="none"/>
          <w:lang w:val="en-US" w:eastAsia="zh-CN"/>
        </w:rPr>
        <w:t>反映行政事业单位按人力资源和社会保障部、财政部规定的基本工资和津贴补贴以及规定比例为职工缴纳的住房公积金</w:t>
      </w: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17</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w:t>
      </w:r>
      <w:r>
        <w:rPr>
          <w:rFonts w:ascii="仿宋_GB2312" w:eastAsia="仿宋_GB2312"/>
          <w:color w:val="auto"/>
          <w:sz w:val="32"/>
          <w:szCs w:val="32"/>
          <w:highlight w:val="none"/>
        </w:rPr>
        <w:t>8.</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pStyle w:val="26"/>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19</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6"/>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20</w:t>
      </w:r>
      <w:r>
        <w:rPr>
          <w:rFonts w:ascii="仿宋_GB2312" w:eastAsia="仿宋_GB2312"/>
          <w:color w:val="auto"/>
          <w:sz w:val="32"/>
          <w:szCs w:val="32"/>
          <w:highlight w:val="none"/>
        </w:rPr>
        <w:t>.</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8"/>
          <w:rFonts w:hint="eastAsia" w:ascii="黑体" w:hAnsi="黑体" w:eastAsia="黑体"/>
          <w:b w:val="0"/>
          <w:color w:val="auto"/>
          <w:highlight w:val="none"/>
          <w:lang w:eastAsia="zh-CN"/>
        </w:rPr>
      </w:pPr>
      <w:bookmarkStart w:id="75" w:name="_Toc15377226"/>
      <w:r>
        <w:rPr>
          <w:rFonts w:ascii="宋体"/>
          <w:b/>
          <w:color w:val="auto"/>
          <w:sz w:val="44"/>
          <w:szCs w:val="44"/>
          <w:highlight w:val="none"/>
        </w:rPr>
        <w:br w:type="page"/>
      </w:r>
      <w:bookmarkStart w:id="76" w:name="_Toc28035"/>
      <w:bookmarkStart w:id="77" w:name="_Toc15396614"/>
      <w:r>
        <w:rPr>
          <w:rFonts w:hint="eastAsia" w:ascii="黑体" w:hAnsi="黑体" w:eastAsia="黑体"/>
          <w:color w:val="auto"/>
          <w:sz w:val="44"/>
          <w:szCs w:val="44"/>
          <w:highlight w:val="none"/>
        </w:rPr>
        <w:t>第</w:t>
      </w:r>
      <w:r>
        <w:rPr>
          <w:rStyle w:val="28"/>
          <w:rFonts w:hint="eastAsia" w:ascii="黑体" w:hAnsi="黑体" w:eastAsia="黑体"/>
          <w:b w:val="0"/>
          <w:color w:val="auto"/>
          <w:highlight w:val="none"/>
        </w:rPr>
        <w:t>四部分 附件</w:t>
      </w:r>
      <w:bookmarkEnd w:id="76"/>
      <w:bookmarkEnd w:id="77"/>
    </w:p>
    <w:p>
      <w:pPr>
        <w:keepNext w:val="0"/>
        <w:keepLines w:val="0"/>
        <w:pageBreakBefore w:val="0"/>
        <w:kinsoku/>
        <w:wordWrap/>
        <w:overflowPunct/>
        <w:topLinePunct w:val="0"/>
        <w:autoSpaceDE/>
        <w:autoSpaceDN/>
        <w:bidi w:val="0"/>
        <w:spacing w:line="572" w:lineRule="exact"/>
        <w:jc w:val="left"/>
        <w:textAlignment w:val="auto"/>
        <w:outlineLvl w:val="1"/>
        <w:rPr>
          <w:rFonts w:ascii="方正小标宋简体" w:hAnsi="方正小标宋简体" w:eastAsia="方正小标宋简体" w:cs="方正小标宋简体"/>
          <w:color w:val="auto"/>
          <w:sz w:val="44"/>
          <w:szCs w:val="44"/>
          <w:highlight w:val="none"/>
        </w:rPr>
      </w:pPr>
      <w:bookmarkStart w:id="78" w:name="_Toc26800"/>
      <w:r>
        <w:rPr>
          <w:rFonts w:hint="eastAsia" w:ascii="黑体" w:hAnsi="黑体" w:eastAsia="黑体" w:cs="黑体"/>
          <w:color w:val="auto"/>
          <w:sz w:val="32"/>
          <w:szCs w:val="32"/>
          <w:highlight w:val="none"/>
        </w:rPr>
        <w:t>附件</w:t>
      </w:r>
      <w:bookmarkEnd w:id="78"/>
    </w:p>
    <w:p>
      <w:pPr>
        <w:keepNext w:val="0"/>
        <w:keepLines w:val="0"/>
        <w:pageBreakBefore w:val="0"/>
        <w:widowControl/>
        <w:kinsoku/>
        <w:wordWrap/>
        <w:overflowPunct/>
        <w:topLinePunct w:val="0"/>
        <w:autoSpaceDE/>
        <w:autoSpaceDN/>
        <w:bidi w:val="0"/>
        <w:spacing w:line="560" w:lineRule="exact"/>
        <w:contextualSpacing/>
        <w:jc w:val="center"/>
        <w:textAlignment w:val="auto"/>
        <w:rPr>
          <w:rFonts w:hint="eastAsia" w:ascii="宋体" w:hAnsi="宋体" w:eastAsia="宋体" w:cs="Times New Roman"/>
          <w:b/>
          <w:color w:val="auto"/>
          <w:sz w:val="32"/>
          <w:szCs w:val="32"/>
          <w:highlight w:val="none"/>
          <w:shd w:val="clear" w:color="auto" w:fill="FFFFFF"/>
        </w:rPr>
      </w:pPr>
      <w:r>
        <w:rPr>
          <w:rFonts w:hint="eastAsia" w:ascii="宋体" w:hAnsi="宋体" w:eastAsia="宋体" w:cs="Times New Roman"/>
          <w:b/>
          <w:color w:val="auto"/>
          <w:sz w:val="32"/>
          <w:szCs w:val="32"/>
          <w:highlight w:val="none"/>
          <w:shd w:val="clear" w:color="auto" w:fill="FFFFFF"/>
        </w:rPr>
        <w:t>20</w:t>
      </w:r>
      <w:r>
        <w:rPr>
          <w:rFonts w:hint="eastAsia" w:ascii="宋体" w:hAnsi="宋体" w:eastAsia="宋体" w:cs="Times New Roman"/>
          <w:b/>
          <w:color w:val="auto"/>
          <w:sz w:val="32"/>
          <w:szCs w:val="32"/>
          <w:highlight w:val="none"/>
          <w:shd w:val="clear" w:color="auto" w:fill="FFFFFF"/>
          <w:lang w:val="en-US" w:eastAsia="zh-CN"/>
        </w:rPr>
        <w:t>23</w:t>
      </w:r>
      <w:r>
        <w:rPr>
          <w:rFonts w:hint="eastAsia" w:ascii="宋体" w:hAnsi="宋体" w:eastAsia="宋体" w:cs="Times New Roman"/>
          <w:b/>
          <w:color w:val="auto"/>
          <w:sz w:val="32"/>
          <w:szCs w:val="32"/>
          <w:highlight w:val="none"/>
          <w:shd w:val="clear" w:color="auto" w:fill="FFFFFF"/>
        </w:rPr>
        <w:t>年省级部门整体绩效评价报告</w:t>
      </w:r>
    </w:p>
    <w:p>
      <w:pPr>
        <w:keepNext w:val="0"/>
        <w:keepLines w:val="0"/>
        <w:pageBreakBefore w:val="0"/>
        <w:widowControl/>
        <w:numPr>
          <w:ilvl w:val="0"/>
          <w:numId w:val="5"/>
        </w:numPr>
        <w:kinsoku/>
        <w:wordWrap/>
        <w:overflowPunct/>
        <w:topLinePunct w:val="0"/>
        <w:autoSpaceDE/>
        <w:autoSpaceDN/>
        <w:bidi w:val="0"/>
        <w:adjustRightInd w:val="0"/>
        <w:snapToGrid w:val="0"/>
        <w:spacing w:line="560" w:lineRule="exact"/>
        <w:ind w:firstLine="640" w:firstLineChars="200"/>
        <w:contextualSpacing/>
        <w:jc w:val="left"/>
        <w:textAlignment w:val="auto"/>
        <w:outlineLvl w:val="1"/>
        <w:rPr>
          <w:rFonts w:hint="eastAsia" w:ascii="黑体" w:hAnsi="宋体" w:eastAsia="黑体" w:cs="宋体"/>
          <w:color w:val="auto"/>
          <w:kern w:val="0"/>
          <w:sz w:val="32"/>
          <w:szCs w:val="32"/>
          <w:highlight w:val="none"/>
          <w:shd w:val="clear" w:color="auto" w:fill="FFFFFF"/>
          <w:lang w:val="zh-CN"/>
        </w:rPr>
      </w:pPr>
      <w:bookmarkStart w:id="79" w:name="_Toc3865"/>
      <w:r>
        <w:rPr>
          <w:rFonts w:hint="eastAsia" w:ascii="黑体" w:hAnsi="宋体" w:eastAsia="黑体" w:cs="宋体"/>
          <w:color w:val="auto"/>
          <w:kern w:val="0"/>
          <w:sz w:val="32"/>
          <w:szCs w:val="32"/>
          <w:highlight w:val="none"/>
          <w:shd w:val="clear" w:color="auto" w:fill="FFFFFF"/>
          <w:lang w:val="zh-CN"/>
        </w:rPr>
        <w:t>部门基本情况</w:t>
      </w:r>
      <w:bookmarkEnd w:id="79"/>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firstLine="720"/>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机构组成。</w:t>
      </w:r>
    </w:p>
    <w:p>
      <w:pPr>
        <w:keepNext w:val="0"/>
        <w:keepLines w:val="0"/>
        <w:pageBreakBefore w:val="0"/>
        <w:widowControl w:val="0"/>
        <w:kinsoku/>
        <w:wordWrap/>
        <w:overflowPunct/>
        <w:topLinePunct w:val="0"/>
        <w:autoSpaceDE/>
        <w:autoSpaceDN/>
        <w:bidi w:val="0"/>
        <w:adjustRightInd/>
        <w:snapToGrid/>
        <w:spacing w:line="560" w:lineRule="exact"/>
        <w:ind w:firstLine="720"/>
        <w:textAlignment w:val="auto"/>
        <w:rPr>
          <w:rFonts w:hint="default" w:ascii="Times New Roman" w:hAnsi="Times New Roman" w:eastAsia="方正楷体_GBK" w:cs="Times New Roman"/>
          <w:color w:val="000000"/>
          <w:sz w:val="32"/>
          <w:szCs w:val="32"/>
          <w:shd w:val="clear" w:color="auto" w:fill="FFFFFF"/>
          <w:lang w:val="zh-CN"/>
        </w:rPr>
      </w:pPr>
      <w:r>
        <w:rPr>
          <w:rFonts w:hint="eastAsia" w:eastAsia="仿宋_GB2312"/>
          <w:color w:val="000000"/>
          <w:spacing w:val="-6"/>
          <w:sz w:val="32"/>
          <w:szCs w:val="32"/>
          <w:lang w:val="en-US" w:eastAsia="zh-CN"/>
        </w:rPr>
        <w:t>我局</w:t>
      </w:r>
      <w:r>
        <w:rPr>
          <w:rFonts w:eastAsia="仿宋_GB2312"/>
          <w:color w:val="000000"/>
          <w:spacing w:val="-6"/>
          <w:sz w:val="32"/>
          <w:szCs w:val="32"/>
        </w:rPr>
        <w:t>于</w:t>
      </w:r>
      <w:r>
        <w:rPr>
          <w:rFonts w:hint="default" w:ascii="Times New Roman" w:hAnsi="Times New Roman" w:eastAsia="仿宋_GB2312" w:cs="Times New Roman"/>
          <w:color w:val="000000"/>
          <w:spacing w:val="-6"/>
          <w:sz w:val="32"/>
          <w:szCs w:val="32"/>
        </w:rPr>
        <w:t>2019年2月成立，</w:t>
      </w:r>
      <w:r>
        <w:rPr>
          <w:rFonts w:hint="default" w:ascii="Times New Roman" w:hAnsi="Times New Roman" w:eastAsia="仿宋_GB2312" w:cs="Times New Roman"/>
          <w:color w:val="000000"/>
          <w:spacing w:val="-6"/>
          <w:sz w:val="32"/>
          <w:szCs w:val="32"/>
          <w:lang w:val="en-US" w:eastAsia="zh-CN"/>
        </w:rPr>
        <w:t>核定</w:t>
      </w:r>
      <w:r>
        <w:rPr>
          <w:rFonts w:hint="default" w:ascii="Times New Roman" w:hAnsi="Times New Roman" w:eastAsia="仿宋_GB2312" w:cs="Times New Roman"/>
          <w:color w:val="000000"/>
          <w:spacing w:val="-6"/>
          <w:sz w:val="32"/>
          <w:szCs w:val="32"/>
        </w:rPr>
        <w:t>行政编制1</w:t>
      </w:r>
      <w:r>
        <w:rPr>
          <w:rFonts w:hint="default" w:ascii="Times New Roman" w:hAnsi="Times New Roman" w:eastAsia="仿宋_GB2312" w:cs="Times New Roman"/>
          <w:color w:val="000000"/>
          <w:spacing w:val="-6"/>
          <w:sz w:val="32"/>
          <w:szCs w:val="32"/>
          <w:lang w:val="en-US" w:eastAsia="zh-CN"/>
        </w:rPr>
        <w:t>3名</w:t>
      </w:r>
      <w:r>
        <w:rPr>
          <w:rFonts w:hint="default" w:ascii="Times New Roman" w:hAnsi="Times New Roman" w:eastAsia="仿宋_GB2312" w:cs="Times New Roman"/>
          <w:color w:val="000000"/>
          <w:spacing w:val="-6"/>
          <w:sz w:val="32"/>
          <w:szCs w:val="32"/>
        </w:rPr>
        <w:t>、工勤编制2名，内设5个科室</w:t>
      </w:r>
      <w:r>
        <w:rPr>
          <w:rFonts w:hint="default" w:ascii="Times New Roman" w:hAnsi="Times New Roman" w:eastAsia="仿宋_GB2312" w:cs="Times New Roman"/>
          <w:color w:val="000000"/>
          <w:spacing w:val="-6"/>
          <w:sz w:val="32"/>
          <w:szCs w:val="32"/>
          <w:lang w:eastAsia="zh-CN"/>
        </w:rPr>
        <w:t>。</w:t>
      </w:r>
      <w:r>
        <w:rPr>
          <w:rFonts w:hint="default" w:ascii="Times New Roman" w:hAnsi="Times New Roman" w:eastAsia="仿宋_GB2312" w:cs="Times New Roman"/>
          <w:color w:val="000000"/>
          <w:spacing w:val="-6"/>
          <w:sz w:val="32"/>
          <w:szCs w:val="32"/>
        </w:rPr>
        <w:t>下属</w:t>
      </w:r>
      <w:r>
        <w:rPr>
          <w:rFonts w:hint="default" w:ascii="Times New Roman" w:hAnsi="Times New Roman" w:eastAsia="仿宋_GB2312" w:cs="Times New Roman"/>
          <w:color w:val="000000"/>
          <w:spacing w:val="-6"/>
          <w:sz w:val="32"/>
          <w:szCs w:val="32"/>
          <w:lang w:val="en-US" w:eastAsia="zh-CN"/>
        </w:rPr>
        <w:t>1个</w:t>
      </w:r>
      <w:r>
        <w:rPr>
          <w:rFonts w:hint="default" w:ascii="Times New Roman" w:hAnsi="Times New Roman" w:eastAsia="仿宋_GB2312" w:cs="Times New Roman"/>
          <w:color w:val="000000"/>
          <w:spacing w:val="-6"/>
          <w:sz w:val="32"/>
          <w:szCs w:val="32"/>
        </w:rPr>
        <w:t>事业单位巴中市大数据服务中心，核定事业编制</w:t>
      </w:r>
      <w:r>
        <w:rPr>
          <w:rFonts w:hint="eastAsia" w:ascii="Times New Roman" w:hAnsi="Times New Roman" w:eastAsia="仿宋_GB2312" w:cs="Times New Roman"/>
          <w:color w:val="000000"/>
          <w:spacing w:val="-6"/>
          <w:sz w:val="32"/>
          <w:szCs w:val="32"/>
          <w:lang w:val="en-US" w:eastAsia="zh-CN"/>
        </w:rPr>
        <w:t>7</w:t>
      </w:r>
      <w:r>
        <w:rPr>
          <w:rFonts w:hint="default" w:ascii="Times New Roman" w:hAnsi="Times New Roman" w:eastAsia="仿宋_GB2312" w:cs="Times New Roman"/>
          <w:color w:val="000000"/>
          <w:spacing w:val="-6"/>
          <w:sz w:val="32"/>
          <w:szCs w:val="32"/>
        </w:rPr>
        <w:t>名，未独立核算。</w:t>
      </w:r>
    </w:p>
    <w:p>
      <w:pPr>
        <w:keepNext w:val="0"/>
        <w:keepLines w:val="0"/>
        <w:pageBreakBefore w:val="0"/>
        <w:widowControl w:val="0"/>
        <w:kinsoku/>
        <w:wordWrap/>
        <w:overflowPunct/>
        <w:topLinePunct w:val="0"/>
        <w:autoSpaceDE/>
        <w:autoSpaceDN/>
        <w:bidi w:val="0"/>
        <w:adjustRightInd/>
        <w:snapToGrid/>
        <w:spacing w:line="560" w:lineRule="exact"/>
        <w:ind w:firstLine="720"/>
        <w:textAlignment w:val="auto"/>
        <w:rPr>
          <w:rFonts w:hint="eastAsia" w:ascii="楷体_GB2312" w:hAnsi="楷体_GB2312" w:eastAsia="楷体_GB2312" w:cs="楷体_GB2312"/>
          <w:b/>
          <w:bCs/>
          <w:color w:val="000000"/>
          <w:sz w:val="32"/>
          <w:szCs w:val="32"/>
          <w:shd w:val="clear" w:color="auto" w:fill="FFFFFF"/>
          <w:lang w:val="zh-CN"/>
        </w:rPr>
      </w:pPr>
      <w:r>
        <w:rPr>
          <w:rFonts w:hint="eastAsia" w:ascii="楷体_GB2312" w:hAnsi="楷体_GB2312" w:eastAsia="楷体_GB2312" w:cs="楷体_GB2312"/>
          <w:b/>
          <w:bCs/>
          <w:color w:val="000000"/>
          <w:sz w:val="32"/>
          <w:szCs w:val="32"/>
          <w:shd w:val="clear" w:color="auto" w:fill="FFFFFF"/>
          <w:lang w:val="zh-CN"/>
        </w:rPr>
        <w:t>（</w:t>
      </w:r>
      <w:r>
        <w:rPr>
          <w:rFonts w:hint="eastAsia" w:ascii="楷体_GB2312" w:hAnsi="楷体_GB2312" w:eastAsia="楷体_GB2312" w:cs="楷体_GB2312"/>
          <w:b/>
          <w:bCs/>
          <w:color w:val="000000"/>
          <w:sz w:val="32"/>
          <w:szCs w:val="32"/>
          <w:shd w:val="clear" w:color="auto" w:fill="FFFFFF"/>
          <w:lang w:val="en-US" w:eastAsia="zh-CN"/>
        </w:rPr>
        <w:t>二</w:t>
      </w:r>
      <w:r>
        <w:rPr>
          <w:rFonts w:hint="eastAsia" w:ascii="楷体_GB2312" w:hAnsi="楷体_GB2312" w:eastAsia="楷体_GB2312" w:cs="楷体_GB2312"/>
          <w:b/>
          <w:bCs/>
          <w:color w:val="000000"/>
          <w:sz w:val="32"/>
          <w:szCs w:val="32"/>
          <w:shd w:val="clear" w:color="auto" w:fill="FFFFFF"/>
          <w:lang w:val="zh-CN"/>
        </w:rPr>
        <w:t>）机构职能</w:t>
      </w:r>
    </w:p>
    <w:p>
      <w:pPr>
        <w:keepNext w:val="0"/>
        <w:keepLines w:val="0"/>
        <w:pageBreakBefore w:val="0"/>
        <w:kinsoku/>
        <w:overflowPunct/>
        <w:topLinePunct w:val="0"/>
        <w:autoSpaceDE/>
        <w:autoSpaceDN/>
        <w:bidi w:val="0"/>
        <w:spacing w:line="560" w:lineRule="exact"/>
        <w:ind w:firstLine="707" w:firstLineChars="221"/>
        <w:textAlignment w:val="auto"/>
        <w:rPr>
          <w:rFonts w:hint="eastAsia" w:ascii="方正楷体_GBK" w:hAnsi="仿宋" w:eastAsia="方正楷体_GBK" w:cs="宋体"/>
          <w:color w:val="000000"/>
          <w:sz w:val="32"/>
          <w:szCs w:val="32"/>
          <w:shd w:val="clear" w:color="auto" w:fill="FFFFFF"/>
          <w:lang w:val="zh-CN"/>
        </w:rPr>
      </w:pPr>
      <w:r>
        <w:rPr>
          <w:rFonts w:hint="eastAsia" w:ascii="Times New Roman" w:hAnsi="Times New Roman" w:eastAsia="仿宋_GB2312" w:cs="Times New Roman"/>
          <w:sz w:val="32"/>
          <w:szCs w:val="32"/>
          <w:lang w:val="en-US" w:eastAsia="zh-CN"/>
        </w:rPr>
        <w:t>根据“三定”规定，</w:t>
      </w:r>
      <w:r>
        <w:rPr>
          <w:rFonts w:ascii="Times New Roman" w:hAnsi="Times New Roman" w:eastAsia="仿宋_GB2312" w:cs="Times New Roman"/>
          <w:sz w:val="32"/>
          <w:szCs w:val="32"/>
        </w:rPr>
        <w:t>巴中市政务服务和大数据管理局主要职能有8项。一是贯彻执行中央、省、市有关“放管服”改革、行政审批制度改革、政务服务、便民服务、公共资源交易服务、行政权力依法规范公开运行和大数据应用、管理等方面的方针政策、法律法规和决策部署，拟订相关政策措施、发展规划</w:t>
      </w:r>
      <w:r>
        <w:rPr>
          <w:rFonts w:hint="eastAsia" w:ascii="Times New Roman" w:hAnsi="Times New Roman" w:eastAsia="仿宋_GB2312" w:cs="Times New Roman"/>
          <w:sz w:val="32"/>
          <w:szCs w:val="32"/>
          <w:lang w:val="en-US" w:eastAsia="zh-CN"/>
        </w:rPr>
        <w:t>并组织</w:t>
      </w:r>
      <w:r>
        <w:rPr>
          <w:rFonts w:ascii="Times New Roman" w:hAnsi="Times New Roman" w:eastAsia="仿宋_GB2312" w:cs="Times New Roman"/>
          <w:sz w:val="32"/>
          <w:szCs w:val="32"/>
        </w:rPr>
        <w:t>实施。二是负责承担行政权力及责任清单制度建设、行政审批制度改革、相对集中行政许可权改革等工作，推进全市行政权力依法规范公开运行，清理、审核、动态调整市级行政权力事项。三是指导、监督全市政务服务、便民服务、公共资源交易服务工作和行政权力事项的清理、运行工作以及行政审批业务工作，监督行政效能及其投诉、举报办理情况。推进政务服务“三集中三到位”和政务服务体系建设。四是负责政务服务、便民服务、公共资源交易服务、行政权力依法规范公开运行、行政效能、大数据相关平台的建设及应用。五是负责政府投资的大数据项目的审核、监督和验收，推进政府数据采集汇聚、登记管理、共享开放，推进社会数据汇聚融合、互联互通和大数据政用、民用、商用。监督管理大数据安全体系建设和安全保障工作。六是负责全市“放管服”改革、行政审批制度改革、政务服务、便民服务、公共资源交易服务、行政权力依法规范公开运行和大数据应用、管理的教育培训和人才队伍建设。七是承担市政府推进职能转变协调小组、市深化行政审批制度改革领导小组、市互联网+暨智慧巴中建设工作领导小组、市公共资源交易管理委员会的日常工作。八是完成市委、市政府交办的其他任务。</w:t>
      </w:r>
    </w:p>
    <w:p>
      <w:pPr>
        <w:keepNext w:val="0"/>
        <w:keepLines w:val="0"/>
        <w:pageBreakBefore w:val="0"/>
        <w:kinsoku/>
        <w:overflowPunct/>
        <w:topLinePunct w:val="0"/>
        <w:autoSpaceDE/>
        <w:autoSpaceDN/>
        <w:bidi w:val="0"/>
        <w:spacing w:line="560" w:lineRule="exact"/>
        <w:ind w:firstLine="642" w:firstLineChars="200"/>
        <w:textAlignment w:val="auto"/>
        <w:rPr>
          <w:rFonts w:hint="eastAsia" w:ascii="楷体_GB2312" w:hAnsi="楷体_GB2312" w:eastAsia="楷体_GB2312" w:cs="楷体_GB2312"/>
          <w:b/>
          <w:bCs/>
          <w:color w:val="000000"/>
          <w:sz w:val="32"/>
          <w:szCs w:val="32"/>
          <w:shd w:val="clear" w:color="auto" w:fill="FFFFFF"/>
          <w:lang w:val="zh-CN"/>
        </w:rPr>
      </w:pPr>
      <w:r>
        <w:rPr>
          <w:rFonts w:hint="eastAsia" w:ascii="楷体_GB2312" w:hAnsi="楷体_GB2312" w:eastAsia="楷体_GB2312" w:cs="楷体_GB2312"/>
          <w:b/>
          <w:bCs/>
          <w:color w:val="000000"/>
          <w:sz w:val="32"/>
          <w:szCs w:val="32"/>
          <w:shd w:val="clear" w:color="auto" w:fill="FFFFFF"/>
          <w:lang w:val="zh-CN"/>
        </w:rPr>
        <w:t>（</w:t>
      </w:r>
      <w:r>
        <w:rPr>
          <w:rFonts w:hint="eastAsia" w:ascii="楷体_GB2312" w:hAnsi="楷体_GB2312" w:eastAsia="楷体_GB2312" w:cs="楷体_GB2312"/>
          <w:b/>
          <w:bCs/>
          <w:color w:val="000000"/>
          <w:sz w:val="32"/>
          <w:szCs w:val="32"/>
          <w:shd w:val="clear" w:color="auto" w:fill="FFFFFF"/>
          <w:lang w:val="en-US" w:eastAsia="zh-CN"/>
        </w:rPr>
        <w:t>三</w:t>
      </w:r>
      <w:r>
        <w:rPr>
          <w:rFonts w:hint="eastAsia" w:ascii="楷体_GB2312" w:hAnsi="楷体_GB2312" w:eastAsia="楷体_GB2312" w:cs="楷体_GB2312"/>
          <w:b/>
          <w:bCs/>
          <w:color w:val="000000"/>
          <w:sz w:val="32"/>
          <w:szCs w:val="32"/>
          <w:shd w:val="clear" w:color="auto" w:fill="FFFFFF"/>
          <w:lang w:val="zh-CN"/>
        </w:rPr>
        <w:t>）人员概况</w:t>
      </w:r>
    </w:p>
    <w:p>
      <w:pPr>
        <w:keepNext w:val="0"/>
        <w:keepLines w:val="0"/>
        <w:pageBreakBefore w:val="0"/>
        <w:kinsoku/>
        <w:overflowPunct/>
        <w:topLinePunct w:val="0"/>
        <w:autoSpaceDE/>
        <w:autoSpaceDN/>
        <w:bidi w:val="0"/>
        <w:spacing w:line="560" w:lineRule="exact"/>
        <w:ind w:firstLine="640" w:firstLineChars="200"/>
        <w:textAlignment w:val="auto"/>
        <w:rPr>
          <w:rFonts w:hint="default" w:ascii="Times New Roman" w:hAnsi="Times New Roman" w:eastAsia="方正楷体_GBK" w:cs="Times New Roman"/>
          <w:color w:val="000000"/>
          <w:sz w:val="32"/>
          <w:szCs w:val="32"/>
          <w:shd w:val="clear" w:color="auto" w:fill="FFFFFF"/>
          <w:lang w:val="zh-CN"/>
        </w:rPr>
      </w:pPr>
      <w:r>
        <w:rPr>
          <w:rFonts w:hint="default" w:ascii="Times New Roman" w:hAnsi="Times New Roman" w:eastAsia="仿宋_GB2312" w:cs="Times New Roman"/>
          <w:sz w:val="32"/>
          <w:szCs w:val="32"/>
        </w:rPr>
        <w:t>巴中市政务服务和</w:t>
      </w:r>
      <w:r>
        <w:rPr>
          <w:rFonts w:hint="default" w:ascii="Times New Roman" w:hAnsi="Times New Roman" w:eastAsia="仿宋_GB2312" w:cs="Times New Roman"/>
          <w:sz w:val="32"/>
          <w:szCs w:val="32"/>
          <w:lang w:val="zh-CN"/>
        </w:rPr>
        <w:t>大</w:t>
      </w:r>
      <w:r>
        <w:rPr>
          <w:rFonts w:hint="default" w:ascii="Times New Roman" w:hAnsi="Times New Roman" w:eastAsia="仿宋_GB2312" w:cs="Times New Roman"/>
          <w:sz w:val="32"/>
          <w:szCs w:val="32"/>
        </w:rPr>
        <w:t>数据管理局现在编人员</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名，其中公务员12名，机关工勤人员2名，事业编制人员</w:t>
      </w: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名</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其中3人试用引进人才单列编制</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，由社保机构发放退休费的退休干部1人。</w:t>
      </w:r>
    </w:p>
    <w:p>
      <w:pPr>
        <w:keepNext w:val="0"/>
        <w:keepLines w:val="0"/>
        <w:pageBreakBefore w:val="0"/>
        <w:widowControl/>
        <w:numPr>
          <w:ilvl w:val="0"/>
          <w:numId w:val="7"/>
        </w:numPr>
        <w:kinsoku/>
        <w:wordWrap/>
        <w:overflowPunct/>
        <w:topLinePunct w:val="0"/>
        <w:autoSpaceDE/>
        <w:autoSpaceDN/>
        <w:bidi w:val="0"/>
        <w:adjustRightInd w:val="0"/>
        <w:snapToGrid w:val="0"/>
        <w:spacing w:line="560" w:lineRule="exact"/>
        <w:ind w:firstLine="642"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部门整体支出绩效目标。</w:t>
      </w:r>
    </w:p>
    <w:p>
      <w:pPr>
        <w:pStyle w:val="2"/>
        <w:numPr>
          <w:ilvl w:val="0"/>
          <w:numId w:val="0"/>
        </w:numPr>
        <w:ind w:firstLine="640" w:firstLineChars="200"/>
        <w:rPr>
          <w:rFonts w:hint="eastAsia" w:ascii="Times New Roman" w:hAnsi="Times New Roman" w:eastAsia="仿宋_GB2312" w:cs="Times New Roman"/>
          <w:kern w:val="2"/>
          <w:sz w:val="32"/>
          <w:szCs w:val="32"/>
          <w:lang w:val="zh-CN" w:eastAsia="zh-CN" w:bidi="ar-SA"/>
        </w:rPr>
      </w:pPr>
      <w:r>
        <w:rPr>
          <w:rFonts w:hint="eastAsia" w:ascii="Times New Roman" w:hAnsi="Times New Roman" w:eastAsia="仿宋_GB2312" w:cs="Times New Roman"/>
          <w:kern w:val="2"/>
          <w:sz w:val="32"/>
          <w:szCs w:val="32"/>
          <w:lang w:val="zh-CN" w:eastAsia="zh-CN" w:bidi="ar-SA"/>
        </w:rPr>
        <w:t>按照市委市政府部署，进一步深化“放管服”改革，着力加强政务服务和公共资源交易管理，加强行政权</w:t>
      </w:r>
      <w:r>
        <w:rPr>
          <w:rFonts w:hint="eastAsia" w:ascii="Times New Roman" w:cs="Times New Roman"/>
          <w:kern w:val="2"/>
          <w:sz w:val="32"/>
          <w:szCs w:val="32"/>
          <w:lang w:val="zh-CN" w:eastAsia="zh-CN" w:bidi="ar-SA"/>
        </w:rPr>
        <w:t>力</w:t>
      </w:r>
      <w:bookmarkStart w:id="115" w:name="_GoBack"/>
      <w:bookmarkEnd w:id="115"/>
      <w:r>
        <w:rPr>
          <w:rFonts w:hint="eastAsia" w:ascii="Times New Roman" w:hAnsi="Times New Roman" w:eastAsia="仿宋_GB2312" w:cs="Times New Roman"/>
          <w:kern w:val="2"/>
          <w:sz w:val="32"/>
          <w:szCs w:val="32"/>
          <w:lang w:val="zh-CN" w:eastAsia="zh-CN" w:bidi="ar-SA"/>
        </w:rPr>
        <w:t>运行监管，积极推进“全省最优、全国一流”政务服务环境建设。开展“智慧巴中”项目审查工作，对全市信息化项目《项目建议书》《初步设计方案》进行技术审查，对运行项目进行抽查和组织验收，严格项目监管、推动集约共建、节约财政资金。推动大数据和数字经济产业良性发展，举办数字创新大赛和研究会，培养数据创新思维，营造数字创新氛围。</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outlineLvl w:val="1"/>
        <w:rPr>
          <w:rFonts w:ascii="黑体" w:hAnsi="宋体" w:eastAsia="黑体" w:cs="宋体"/>
          <w:color w:val="auto"/>
          <w:kern w:val="0"/>
          <w:sz w:val="32"/>
          <w:szCs w:val="32"/>
          <w:highlight w:val="none"/>
          <w:shd w:val="clear" w:color="auto" w:fill="FFFFFF"/>
        </w:rPr>
      </w:pPr>
      <w:bookmarkStart w:id="80" w:name="_Toc1790"/>
      <w:r>
        <w:rPr>
          <w:rFonts w:hint="eastAsia" w:ascii="黑体" w:hAnsi="宋体" w:eastAsia="黑体" w:cs="宋体"/>
          <w:color w:val="auto"/>
          <w:kern w:val="0"/>
          <w:sz w:val="32"/>
          <w:szCs w:val="32"/>
          <w:highlight w:val="none"/>
          <w:shd w:val="clear" w:color="auto" w:fill="FFFFFF"/>
        </w:rPr>
        <w:t>二、</w:t>
      </w:r>
      <w:r>
        <w:rPr>
          <w:rFonts w:hint="eastAsia" w:ascii="黑体" w:hAnsi="宋体" w:eastAsia="黑体" w:cs="宋体"/>
          <w:color w:val="auto"/>
          <w:kern w:val="0"/>
          <w:sz w:val="32"/>
          <w:szCs w:val="32"/>
          <w:highlight w:val="none"/>
          <w:shd w:val="clear" w:color="auto" w:fill="FFFFFF"/>
          <w:lang w:eastAsia="zh-CN"/>
        </w:rPr>
        <w:t>部门</w:t>
      </w:r>
      <w:r>
        <w:rPr>
          <w:rFonts w:hint="eastAsia" w:ascii="黑体" w:hAnsi="宋体" w:eastAsia="黑体" w:cs="宋体"/>
          <w:color w:val="auto"/>
          <w:kern w:val="0"/>
          <w:sz w:val="32"/>
          <w:szCs w:val="32"/>
          <w:highlight w:val="none"/>
          <w:shd w:val="clear" w:color="auto" w:fill="FFFFFF"/>
        </w:rPr>
        <w:t>资金收支情况</w:t>
      </w:r>
      <w:bookmarkEnd w:id="80"/>
    </w:p>
    <w:p>
      <w:pPr>
        <w:keepNext w:val="0"/>
        <w:keepLines w:val="0"/>
        <w:pageBreakBefore w:val="0"/>
        <w:widowControl/>
        <w:kinsoku/>
        <w:wordWrap/>
        <w:overflowPunct/>
        <w:topLinePunct w:val="0"/>
        <w:autoSpaceDE/>
        <w:autoSpaceDN/>
        <w:bidi w:val="0"/>
        <w:adjustRightInd w:val="0"/>
        <w:snapToGrid w:val="0"/>
        <w:spacing w:line="560" w:lineRule="exact"/>
        <w:ind w:firstLine="642"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（一）部门总体收支情况。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1.部门总体收入情况</w:t>
      </w:r>
    </w:p>
    <w:p>
      <w:pPr>
        <w:pStyle w:val="2"/>
        <w:ind w:firstLine="600" w:firstLineChars="200"/>
        <w:rPr>
          <w:rFonts w:hint="eastAsia"/>
          <w:lang w:val="en-US" w:eastAsia="zh-CN"/>
        </w:rPr>
      </w:pPr>
      <w:r>
        <w:rPr>
          <w:rFonts w:hint="eastAsia"/>
          <w:lang w:val="en-US" w:eastAsia="zh-CN"/>
        </w:rPr>
        <w:t>2022年全年预算收入总额742.84万元，其中年初预算数338.57万元，追加预算数354.33万元，上年结转49.94万元；当年财政拨款收入742.84万元。</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2.部门总体支出情况</w:t>
      </w:r>
    </w:p>
    <w:p>
      <w:pPr>
        <w:pStyle w:val="2"/>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lang w:val="en-US" w:eastAsia="zh-CN"/>
        </w:rPr>
      </w:pPr>
      <w:r>
        <w:rPr>
          <w:rFonts w:hint="eastAsia"/>
          <w:lang w:val="en-US" w:eastAsia="zh-CN"/>
        </w:rPr>
        <w:t>2022年全年一般公共财政预算支出为725.25万元，其中基本支出417.72万元，项目支出307.53万元。</w:t>
      </w:r>
    </w:p>
    <w:p>
      <w:pPr>
        <w:pStyle w:val="2"/>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lang w:val="en-US" w:eastAsia="zh-CN"/>
        </w:rPr>
      </w:pPr>
      <w:r>
        <w:rPr>
          <w:rFonts w:hint="eastAsia"/>
          <w:lang w:val="en-US" w:eastAsia="zh-CN"/>
        </w:rPr>
        <w:t>基本支出主要是保障我局正常运转的日常支出，包括基本工资、津贴补贴、绩效工资等人员经费，以及办公费、印刷费、水电费、差旅费等日常公用经费。</w:t>
      </w:r>
    </w:p>
    <w:p>
      <w:pPr>
        <w:pStyle w:val="2"/>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lang w:val="en-US" w:eastAsia="zh-CN"/>
        </w:rPr>
      </w:pPr>
      <w:r>
        <w:rPr>
          <w:rFonts w:hint="eastAsia"/>
          <w:lang w:val="en-US" w:eastAsia="zh-CN"/>
        </w:rPr>
        <w:t>项目支出主要用于保障我局行政职能运转支出，包括党建工作经费、职工体检费、乡村振兴帮扶工作经费、行政审批电子监察平台运维费、“放管服”改革经费等运转、发展类项目经费。</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按支出功能分类主要用于以下方面：</w:t>
      </w:r>
    </w:p>
    <w:p>
      <w:pPr>
        <w:pStyle w:val="2"/>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lang w:val="en-US" w:eastAsia="zh-CN"/>
        </w:rPr>
      </w:pPr>
      <w:r>
        <w:rPr>
          <w:rFonts w:hint="eastAsia"/>
          <w:lang w:val="en-US" w:eastAsia="zh-CN"/>
        </w:rPr>
        <w:t>1.一般公共服务支出650.64万元，主要用于我局按照市委市政府部署，进一步深化“放管服”改革，着力加强政务服务和公资源交易管理，加强行政权力运行监管，积极推进“全省最优、全国一流”营商环境建设。</w:t>
      </w:r>
    </w:p>
    <w:p>
      <w:pPr>
        <w:pStyle w:val="2"/>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lang w:val="en-US" w:eastAsia="zh-CN"/>
        </w:rPr>
      </w:pPr>
      <w:r>
        <w:rPr>
          <w:rFonts w:hint="eastAsia"/>
          <w:lang w:val="en-US" w:eastAsia="zh-CN"/>
        </w:rPr>
        <w:t>2.教育支出0万元。</w:t>
      </w:r>
    </w:p>
    <w:p>
      <w:pPr>
        <w:pStyle w:val="2"/>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lang w:val="en-US" w:eastAsia="zh-CN"/>
        </w:rPr>
      </w:pPr>
      <w:r>
        <w:rPr>
          <w:rFonts w:hint="eastAsia"/>
          <w:lang w:val="en-US" w:eastAsia="zh-CN"/>
        </w:rPr>
        <w:t>3.社会保障和就业支出27.70万元。主要用于机关及下属事业单位离退休人员养老保险缴费支出。</w:t>
      </w:r>
    </w:p>
    <w:p>
      <w:pPr>
        <w:pStyle w:val="2"/>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lang w:val="en-US" w:eastAsia="zh-CN"/>
        </w:rPr>
      </w:pPr>
      <w:r>
        <w:rPr>
          <w:rFonts w:hint="eastAsia"/>
          <w:lang w:val="en-US" w:eastAsia="zh-CN"/>
        </w:rPr>
        <w:t>4.卫生健康支出17.65万元。主要用于机关及下属事业单位按照规定标准为职工缴纳的基本医疗保险及公务员医疗补助等支出。</w:t>
      </w:r>
    </w:p>
    <w:p>
      <w:pPr>
        <w:pStyle w:val="2"/>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lang w:val="en-US" w:eastAsia="zh-CN"/>
        </w:rPr>
      </w:pPr>
      <w:r>
        <w:rPr>
          <w:rFonts w:hint="eastAsia"/>
          <w:lang w:val="en-US" w:eastAsia="zh-CN"/>
        </w:rPr>
        <w:t>5.住房保障支出29.27万元。用于机关及下属事业单位按照规定标准为职工缴纳住房公积金等支出。</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3.部门总体结转结余情况</w:t>
      </w:r>
    </w:p>
    <w:p>
      <w:pPr>
        <w:pStyle w:val="2"/>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hAnsi="Times New Roman" w:cs="Times New Roman"/>
          <w:lang w:val="en-US" w:eastAsia="zh-CN"/>
        </w:rPr>
      </w:pPr>
      <w:r>
        <w:rPr>
          <w:rFonts w:hint="eastAsia" w:hAnsi="Times New Roman" w:cs="Times New Roman"/>
          <w:lang w:val="en-US" w:eastAsia="zh-CN"/>
        </w:rPr>
        <w:t>年初结转49.937万元，年末结余17.59万元。</w:t>
      </w:r>
    </w:p>
    <w:p>
      <w:pPr>
        <w:keepNext w:val="0"/>
        <w:keepLines w:val="0"/>
        <w:pageBreakBefore w:val="0"/>
        <w:widowControl/>
        <w:kinsoku/>
        <w:wordWrap/>
        <w:overflowPunct/>
        <w:topLinePunct w:val="0"/>
        <w:autoSpaceDE/>
        <w:autoSpaceDN/>
        <w:bidi w:val="0"/>
        <w:adjustRightInd w:val="0"/>
        <w:snapToGrid w:val="0"/>
        <w:spacing w:line="560" w:lineRule="exact"/>
        <w:ind w:firstLine="642"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（二）部门财政拨款收支情况。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1.部门财政拨款收入情况</w:t>
      </w:r>
    </w:p>
    <w:p>
      <w:pPr>
        <w:pStyle w:val="2"/>
        <w:ind w:firstLine="600" w:firstLineChars="200"/>
        <w:rPr>
          <w:rFonts w:hint="eastAsia"/>
          <w:lang w:val="en-US" w:eastAsia="zh-CN"/>
        </w:rPr>
      </w:pPr>
      <w:r>
        <w:rPr>
          <w:rFonts w:hint="eastAsia"/>
          <w:lang w:val="en-US" w:eastAsia="zh-CN"/>
        </w:rPr>
        <w:t>2022年全年预算收入总额742.84万元，其中年初预算数338.57万元，追加预算数354.33万元，上年结转49.94万元；当年财政拨款收入742.84万元。</w:t>
      </w:r>
    </w:p>
    <w:p>
      <w:pPr>
        <w:keepNext w:val="0"/>
        <w:keepLines w:val="0"/>
        <w:pageBreakBefore w:val="0"/>
        <w:widowControl/>
        <w:numPr>
          <w:ilvl w:val="0"/>
          <w:numId w:val="2"/>
        </w:numPr>
        <w:kinsoku/>
        <w:wordWrap/>
        <w:overflowPunct/>
        <w:topLinePunct w:val="0"/>
        <w:autoSpaceDE/>
        <w:autoSpaceDN/>
        <w:bidi w:val="0"/>
        <w:adjustRightInd w:val="0"/>
        <w:snapToGrid w:val="0"/>
        <w:spacing w:line="560" w:lineRule="exact"/>
        <w:ind w:left="0" w:leftChars="0"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部门财政拨款支出情况</w:t>
      </w:r>
    </w:p>
    <w:p>
      <w:pPr>
        <w:pStyle w:val="2"/>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hAnsi="Times New Roman" w:cs="Times New Roman"/>
          <w:lang w:val="en-US" w:eastAsia="zh-CN"/>
        </w:rPr>
      </w:pPr>
      <w:r>
        <w:rPr>
          <w:rFonts w:hint="eastAsia" w:hAnsi="Times New Roman" w:cs="Times New Roman"/>
          <w:lang w:val="en-US" w:eastAsia="zh-CN"/>
        </w:rPr>
        <w:t>2022年全年一般公共财政预算支出为725.25万元，其中基本支出417.72万元，项目支出307.53万元。</w:t>
      </w:r>
    </w:p>
    <w:p>
      <w:pPr>
        <w:pStyle w:val="2"/>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hAnsi="Times New Roman" w:cs="Times New Roman"/>
          <w:lang w:val="en-US" w:eastAsia="zh-CN"/>
        </w:rPr>
      </w:pPr>
      <w:r>
        <w:rPr>
          <w:rFonts w:hint="eastAsia" w:hAnsi="Times New Roman" w:cs="Times New Roman"/>
          <w:lang w:val="en-US" w:eastAsia="zh-CN"/>
        </w:rPr>
        <w:t>基本支出主要是保障我局正常运转的日常支出，包括基本工资、津贴补贴、绩效工资等人员经费，以及办公费、印刷费、水电费、差旅费等日常公用经费。</w:t>
      </w:r>
    </w:p>
    <w:p>
      <w:pPr>
        <w:pStyle w:val="2"/>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hAnsi="Times New Roman" w:cs="Times New Roman"/>
          <w:lang w:val="en-US" w:eastAsia="zh-CN"/>
        </w:rPr>
      </w:pPr>
      <w:r>
        <w:rPr>
          <w:rFonts w:hint="eastAsia" w:hAnsi="Times New Roman" w:cs="Times New Roman"/>
          <w:lang w:val="en-US" w:eastAsia="zh-CN"/>
        </w:rPr>
        <w:t>项目支出主要用于保障我局行政职能运转支出，包括党建工作经费、职工体检费、乡村振兴帮扶工作经费、行政审批电子监察平台运维费、“放管服”改革经费等运转、发展类项目经费。</w:t>
      </w:r>
    </w:p>
    <w:p>
      <w:pPr>
        <w:pStyle w:val="2"/>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hAnsi="Times New Roman" w:cs="Times New Roman"/>
          <w:lang w:val="en-US" w:eastAsia="zh-CN"/>
        </w:rPr>
      </w:pPr>
      <w:r>
        <w:rPr>
          <w:rFonts w:hint="eastAsia" w:hAnsi="Times New Roman" w:cs="Times New Roman"/>
          <w:lang w:val="en-US" w:eastAsia="zh-CN"/>
        </w:rPr>
        <w:t>按支出功能分类主要用于以下方面：</w:t>
      </w:r>
    </w:p>
    <w:p>
      <w:pPr>
        <w:pStyle w:val="2"/>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hAnsi="Times New Roman" w:cs="Times New Roman"/>
          <w:lang w:val="en-US" w:eastAsia="zh-CN"/>
        </w:rPr>
      </w:pPr>
      <w:r>
        <w:rPr>
          <w:rFonts w:hint="eastAsia" w:hAnsi="Times New Roman" w:cs="Times New Roman"/>
          <w:lang w:val="en-US" w:eastAsia="zh-CN"/>
        </w:rPr>
        <w:t>1.一般公共服务支出650.64万元，主要用于我局按照市委市政府部署，进一步深化“放管服”改革，着力加强政务服务和公资源交易管理，加强行政权力运行监管，积极推进“全省最优、全国一流”营商环境建设。</w:t>
      </w:r>
    </w:p>
    <w:p>
      <w:pPr>
        <w:pStyle w:val="2"/>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hAnsi="Times New Roman" w:cs="Times New Roman"/>
          <w:lang w:val="en-US" w:eastAsia="zh-CN"/>
        </w:rPr>
      </w:pPr>
      <w:r>
        <w:rPr>
          <w:rFonts w:hint="eastAsia" w:hAnsi="Times New Roman" w:cs="Times New Roman"/>
          <w:lang w:val="en-US" w:eastAsia="zh-CN"/>
        </w:rPr>
        <w:t>2.教育支出0万元。</w:t>
      </w:r>
    </w:p>
    <w:p>
      <w:pPr>
        <w:pStyle w:val="2"/>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hAnsi="Times New Roman" w:cs="Times New Roman"/>
          <w:lang w:val="en-US" w:eastAsia="zh-CN"/>
        </w:rPr>
      </w:pPr>
      <w:r>
        <w:rPr>
          <w:rFonts w:hint="eastAsia" w:hAnsi="Times New Roman" w:cs="Times New Roman"/>
          <w:lang w:val="en-US" w:eastAsia="zh-CN"/>
        </w:rPr>
        <w:t>3.社会保障和就业支出27.70万元。主要用于机关及下属事业单位离退休人员养老保险缴费支出。</w:t>
      </w:r>
    </w:p>
    <w:p>
      <w:pPr>
        <w:pStyle w:val="2"/>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hAnsi="Times New Roman" w:cs="Times New Roman"/>
          <w:lang w:val="en-US" w:eastAsia="zh-CN"/>
        </w:rPr>
      </w:pPr>
      <w:r>
        <w:rPr>
          <w:rFonts w:hint="eastAsia" w:hAnsi="Times New Roman" w:cs="Times New Roman"/>
          <w:lang w:val="en-US" w:eastAsia="zh-CN"/>
        </w:rPr>
        <w:t>4.卫生健康支出17.65万元。主要用于机关及下属事业单位按照规定标准为职工缴纳的基本医疗保险及公务员医疗补助等支出。</w:t>
      </w:r>
    </w:p>
    <w:p>
      <w:pPr>
        <w:pStyle w:val="2"/>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hAnsi="Times New Roman" w:cs="Times New Roman"/>
          <w:lang w:val="en-US" w:eastAsia="zh-CN"/>
        </w:rPr>
      </w:pPr>
      <w:r>
        <w:rPr>
          <w:rFonts w:hint="eastAsia" w:hAnsi="Times New Roman" w:cs="Times New Roman"/>
          <w:lang w:val="en-US" w:eastAsia="zh-CN"/>
        </w:rPr>
        <w:t>5.住房保障支出29.27万元。用于机关及下属事业单位按照规定标准为职工缴纳住房公积金等支出。</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3.部门财政拨款结转结余情况</w:t>
      </w:r>
    </w:p>
    <w:p>
      <w:pPr>
        <w:pStyle w:val="2"/>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hAnsi="Times New Roman" w:cs="Times New Roman"/>
          <w:lang w:val="en-US" w:eastAsia="zh-CN"/>
        </w:rPr>
      </w:pPr>
      <w:r>
        <w:rPr>
          <w:rFonts w:hint="eastAsia" w:hAnsi="Times New Roman" w:cs="Times New Roman"/>
          <w:lang w:val="en-US" w:eastAsia="zh-CN"/>
        </w:rPr>
        <w:t>年初结转49.937万元，年末结余17.59万元。</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三、</w:t>
      </w:r>
      <w:r>
        <w:rPr>
          <w:rFonts w:hint="eastAsia" w:ascii="黑体" w:hAnsi="宋体" w:eastAsia="黑体" w:cs="宋体"/>
          <w:color w:val="auto"/>
          <w:kern w:val="0"/>
          <w:sz w:val="32"/>
          <w:szCs w:val="32"/>
          <w:highlight w:val="none"/>
          <w:u w:val="none"/>
          <w:shd w:val="clear" w:color="auto" w:fill="FFFFFF"/>
        </w:rPr>
        <w:t>部门整体绩效</w:t>
      </w:r>
      <w:r>
        <w:rPr>
          <w:rFonts w:hint="eastAsia" w:ascii="黑体" w:hAnsi="宋体" w:eastAsia="黑体" w:cs="宋体"/>
          <w:color w:val="auto"/>
          <w:kern w:val="0"/>
          <w:sz w:val="32"/>
          <w:szCs w:val="32"/>
          <w:highlight w:val="none"/>
          <w:u w:val="none"/>
          <w:shd w:val="clear" w:color="auto" w:fill="FFFFFF"/>
          <w:lang w:eastAsia="zh-CN"/>
        </w:rPr>
        <w:t>分析</w:t>
      </w:r>
    </w:p>
    <w:p>
      <w:pPr>
        <w:keepNext w:val="0"/>
        <w:keepLines w:val="0"/>
        <w:pageBreakBefore w:val="0"/>
        <w:widowControl/>
        <w:kinsoku/>
        <w:wordWrap/>
        <w:overflowPunct/>
        <w:topLinePunct w:val="0"/>
        <w:autoSpaceDE/>
        <w:autoSpaceDN/>
        <w:bidi w:val="0"/>
        <w:adjustRightInd w:val="0"/>
        <w:snapToGrid w:val="0"/>
        <w:spacing w:line="560" w:lineRule="exact"/>
        <w:ind w:firstLine="642"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eastAsia="zh-CN"/>
        </w:rPr>
      </w:pPr>
      <w:r>
        <w:rPr>
          <w:rFonts w:hint="eastAsia" w:ascii="楷体_GB2312" w:hAnsi="楷体_GB2312" w:eastAsia="楷体_GB2312" w:cs="楷体_GB2312"/>
          <w:b/>
          <w:bCs/>
          <w:color w:val="auto"/>
          <w:kern w:val="0"/>
          <w:sz w:val="32"/>
          <w:szCs w:val="32"/>
          <w:highlight w:val="none"/>
          <w:shd w:val="clear" w:color="auto" w:fill="FFFFFF"/>
          <w:lang w:val="zh-CN"/>
        </w:rPr>
        <w:t>（一）部门预算项目绩效分析。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1.人员类项目绩效分析</w:t>
      </w:r>
    </w:p>
    <w:p>
      <w:pPr>
        <w:pStyle w:val="2"/>
        <w:ind w:firstLine="640" w:firstLineChars="200"/>
        <w:rPr>
          <w:rFonts w:hint="default"/>
          <w:highlight w:val="none"/>
          <w:lang w:val="en-US" w:eastAsia="zh-CN"/>
        </w:rPr>
      </w:pPr>
      <w:r>
        <w:rPr>
          <w:rFonts w:hint="eastAsia" w:hAnsi="仿宋_GB2312" w:cs="仿宋_GB2312"/>
          <w:b w:val="0"/>
          <w:bCs w:val="0"/>
          <w:color w:val="auto"/>
          <w:kern w:val="0"/>
          <w:sz w:val="32"/>
          <w:szCs w:val="32"/>
          <w:highlight w:val="none"/>
          <w:shd w:val="clear" w:color="auto" w:fill="FFFFFF"/>
          <w:lang w:val="en-US" w:eastAsia="zh-CN"/>
        </w:rPr>
        <w:t>人员类项目全年预算417.72万元，决算支出数为417.72万元，完成预算数的100%，</w:t>
      </w:r>
      <w:r>
        <w:rPr>
          <w:rFonts w:hint="default" w:ascii="Times New Roman" w:hAnsi="Times New Roman" w:eastAsia="仿宋_GB2312" w:cs="Times New Roman"/>
          <w:sz w:val="32"/>
          <w:szCs w:val="32"/>
          <w:highlight w:val="none"/>
          <w:lang w:val="en-US" w:eastAsia="zh-CN"/>
        </w:rPr>
        <w:t>主要用于保障局机关正常运行、开展日常工作的基本支出，包括基本工资、津贴补贴等人员经费以及办公费、印刷费、水电费等日常公用经费</w:t>
      </w:r>
      <w:r>
        <w:rPr>
          <w:rFonts w:hint="eastAsia" w:ascii="Times New Roman" w:hAnsi="Times New Roman" w:eastAsia="仿宋_GB2312" w:cs="Times New Roman"/>
          <w:sz w:val="32"/>
          <w:szCs w:val="32"/>
          <w:highlight w:val="none"/>
          <w:lang w:val="en-US" w:eastAsia="zh-CN"/>
        </w:rPr>
        <w:t>。</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2.运转类项目绩效分析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运转类项目</w:t>
      </w:r>
      <w:r>
        <w:rPr>
          <w:rFonts w:hint="eastAsia" w:ascii="Times New Roman" w:hAnsi="Times New Roman" w:eastAsia="仿宋_GB2312" w:cs="Times New Roman"/>
          <w:sz w:val="32"/>
          <w:szCs w:val="32"/>
          <w:highlight w:val="none"/>
          <w:lang w:val="en-US" w:eastAsia="zh-CN"/>
        </w:rPr>
        <w:t>全年预算</w:t>
      </w:r>
      <w:r>
        <w:rPr>
          <w:rFonts w:hint="default" w:ascii="Times New Roman" w:hAnsi="Times New Roman" w:eastAsia="仿宋_GB2312" w:cs="Times New Roman"/>
          <w:sz w:val="32"/>
          <w:szCs w:val="32"/>
          <w:highlight w:val="none"/>
          <w:lang w:val="en-US" w:eastAsia="zh-CN"/>
        </w:rPr>
        <w:t>11.65万元，</w:t>
      </w:r>
      <w:r>
        <w:rPr>
          <w:rFonts w:hint="eastAsia" w:ascii="Times New Roman" w:hAnsi="Times New Roman" w:eastAsia="仿宋_GB2312" w:cs="Times New Roman"/>
          <w:sz w:val="32"/>
          <w:szCs w:val="32"/>
          <w:highlight w:val="none"/>
          <w:lang w:val="en-US" w:eastAsia="zh-CN"/>
        </w:rPr>
        <w:t>决算支出数为11.65万元，完成预算的100%，</w:t>
      </w:r>
      <w:r>
        <w:rPr>
          <w:rFonts w:hint="default" w:ascii="Times New Roman" w:hAnsi="Times New Roman" w:eastAsia="仿宋_GB2312" w:cs="Times New Roman"/>
          <w:sz w:val="32"/>
          <w:szCs w:val="32"/>
          <w:highlight w:val="none"/>
          <w:lang w:val="en-US" w:eastAsia="zh-CN"/>
        </w:rPr>
        <w:t>主要用于：党建工作经费、职工体检费、乡村振兴帮扶工作经费</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3.特定目标类项目绩效分析</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特定目标类</w:t>
      </w:r>
      <w:r>
        <w:rPr>
          <w:rFonts w:hint="eastAsia" w:ascii="Times New Roman" w:hAnsi="Times New Roman" w:eastAsia="仿宋_GB2312" w:cs="Times New Roman"/>
          <w:sz w:val="32"/>
          <w:szCs w:val="32"/>
          <w:highlight w:val="none"/>
          <w:lang w:val="en-US" w:eastAsia="zh-CN"/>
        </w:rPr>
        <w:t>项目全年预算313.47</w:t>
      </w:r>
      <w:r>
        <w:rPr>
          <w:rFonts w:hint="default" w:ascii="Times New Roman" w:hAnsi="Times New Roman" w:eastAsia="仿宋_GB2312" w:cs="Times New Roman"/>
          <w:sz w:val="32"/>
          <w:szCs w:val="32"/>
          <w:highlight w:val="none"/>
          <w:lang w:val="en-US" w:eastAsia="zh-CN"/>
        </w:rPr>
        <w:t>万元，</w:t>
      </w:r>
      <w:r>
        <w:rPr>
          <w:rFonts w:hint="eastAsia" w:ascii="Times New Roman" w:hAnsi="Times New Roman" w:eastAsia="仿宋_GB2312" w:cs="Times New Roman"/>
          <w:sz w:val="32"/>
          <w:szCs w:val="32"/>
          <w:highlight w:val="none"/>
          <w:lang w:val="en-US" w:eastAsia="zh-CN"/>
        </w:rPr>
        <w:t>决算支出数为298.88万元，完成预算的94.39%，</w:t>
      </w:r>
      <w:r>
        <w:rPr>
          <w:rFonts w:hint="default" w:ascii="Times New Roman" w:hAnsi="Times New Roman" w:eastAsia="仿宋_GB2312" w:cs="Times New Roman"/>
          <w:sz w:val="32"/>
          <w:szCs w:val="32"/>
          <w:highlight w:val="none"/>
          <w:lang w:val="en-US" w:eastAsia="zh-CN"/>
        </w:rPr>
        <w:t>主要用于：</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智慧巴中</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项目审查经费、</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放管服</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改革经费、行政审批电子监察平台运维费</w:t>
      </w:r>
      <w:r>
        <w:rPr>
          <w:rFonts w:hint="eastAsia" w:ascii="Times New Roman" w:hAnsi="Times New Roman" w:eastAsia="仿宋_GB2312" w:cs="Times New Roman"/>
          <w:sz w:val="32"/>
          <w:szCs w:val="32"/>
          <w:highlight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2"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（二）部门整体履职绩效分析。</w:t>
      </w: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firstLine="642" w:firstLineChars="200"/>
        <w:jc w:val="both"/>
        <w:textAlignment w:val="auto"/>
        <w:rPr>
          <w:rFonts w:hint="eastAsia" w:ascii="仿宋_GB2312" w:hAnsi="仿宋_GB2312" w:eastAsia="仿宋_GB2312" w:cs="仿宋_GB2312"/>
          <w:b w:val="0"/>
          <w:bCs w:val="0"/>
          <w:color w:val="auto"/>
          <w:kern w:val="0"/>
          <w:sz w:val="32"/>
          <w:szCs w:val="32"/>
          <w:highlight w:val="none"/>
          <w:shd w:val="clear" w:color="auto" w:fill="FFFFFF"/>
          <w:lang w:val="zh-CN" w:eastAsia="zh-CN"/>
        </w:rPr>
      </w:pPr>
      <w:r>
        <w:rPr>
          <w:rFonts w:hint="eastAsia" w:ascii="Times New Roman" w:hAnsi="Times New Roman" w:eastAsia="方正仿宋_GBK" w:cs="Times New Roman"/>
          <w:b/>
          <w:bCs/>
          <w:color w:val="auto"/>
          <w:sz w:val="32"/>
          <w:szCs w:val="32"/>
          <w:lang w:val="en-US" w:eastAsia="zh-CN"/>
        </w:rPr>
        <w:t>一</w:t>
      </w:r>
      <w:r>
        <w:rPr>
          <w:rFonts w:hint="default" w:ascii="Times New Roman" w:hAnsi="Times New Roman" w:eastAsia="方正仿宋_GBK" w:cs="Times New Roman"/>
          <w:b/>
          <w:bCs/>
          <w:color w:val="auto"/>
          <w:sz w:val="32"/>
          <w:szCs w:val="32"/>
          <w:lang w:val="en-US" w:eastAsia="zh-CN"/>
        </w:rPr>
        <w:t>是深入推进“一网通办”。</w:t>
      </w:r>
      <w:r>
        <w:rPr>
          <w:rFonts w:hint="default" w:ascii="Times New Roman" w:hAnsi="Times New Roman" w:eastAsia="方正仿宋_GBK" w:cs="Times New Roman"/>
          <w:sz w:val="32"/>
          <w:szCs w:val="32"/>
          <w:lang w:val="en-US" w:eastAsia="zh-CN"/>
        </w:rPr>
        <w:t>将“一网通办”指标纳入全市政务服务“好差评”体系，建立“周通报、月考核、季调度”机制，形成市级统筹、纵向联动、横向协作的“一网通办”攻坚格局。</w:t>
      </w:r>
      <w:r>
        <w:rPr>
          <w:rFonts w:hint="default" w:ascii="Times New Roman" w:hAnsi="Times New Roman" w:eastAsia="方正仿宋_GBK" w:cs="Times New Roman"/>
          <w:b w:val="0"/>
          <w:bCs w:val="0"/>
          <w:color w:val="auto"/>
          <w:sz w:val="32"/>
          <w:szCs w:val="32"/>
          <w:highlight w:val="none"/>
          <w:lang w:val="en-US" w:eastAsia="zh-CN"/>
        </w:rPr>
        <w:t>加快“天府通办”巴中分站点建设，接入高频热点便民服务应用162个，</w:t>
      </w:r>
      <w:r>
        <w:rPr>
          <w:rFonts w:hint="default" w:ascii="Times New Roman" w:hAnsi="Times New Roman" w:eastAsia="方正仿宋_GBK" w:cs="Times New Roman"/>
          <w:color w:val="auto"/>
          <w:sz w:val="32"/>
          <w:szCs w:val="32"/>
          <w:highlight w:val="none"/>
          <w:lang w:val="en-US" w:eastAsia="zh-CN"/>
        </w:rPr>
        <w:t>共享电子证照145类12.46万个，建成本地特色服务专区7个；</w:t>
      </w:r>
      <w:r>
        <w:rPr>
          <w:rFonts w:hint="default" w:ascii="Times New Roman" w:hAnsi="Times New Roman" w:eastAsia="方正仿宋_GBK" w:cs="Times New Roman"/>
          <w:b w:val="0"/>
          <w:bCs w:val="0"/>
          <w:color w:val="auto"/>
          <w:sz w:val="32"/>
          <w:szCs w:val="32"/>
          <w:lang w:val="en-US" w:eastAsia="zh-CN"/>
        </w:rPr>
        <w:t>发布“一件事一次办”事项59个，减少申请资料210个，压缩审批环节149个，办理提速60%；在1—10月省对市“一网通办”考核中，我市2次位居全省第1名、5次位居全省前5名。</w:t>
      </w:r>
      <w:r>
        <w:rPr>
          <w:rFonts w:hint="eastAsia" w:ascii="Times New Roman" w:hAnsi="Times New Roman" w:eastAsia="方正仿宋_GBK" w:cs="Times New Roman"/>
          <w:b/>
          <w:bCs/>
          <w:color w:val="auto"/>
          <w:sz w:val="32"/>
          <w:szCs w:val="32"/>
          <w:lang w:val="en-US" w:eastAsia="zh-CN"/>
        </w:rPr>
        <w:t>二</w:t>
      </w:r>
      <w:r>
        <w:rPr>
          <w:rFonts w:hint="default" w:ascii="Times New Roman" w:hAnsi="Times New Roman" w:eastAsia="方正仿宋_GBK" w:cs="Times New Roman"/>
          <w:b/>
          <w:bCs/>
          <w:color w:val="auto"/>
          <w:sz w:val="32"/>
          <w:szCs w:val="32"/>
          <w:lang w:val="en-US" w:eastAsia="zh-CN"/>
        </w:rPr>
        <w:t>是着力优化中介服务。</w:t>
      </w:r>
      <w:r>
        <w:rPr>
          <w:rFonts w:hint="default" w:ascii="Times New Roman" w:hAnsi="Times New Roman" w:eastAsia="方正仿宋_GBK" w:cs="Times New Roman"/>
          <w:b w:val="0"/>
          <w:bCs w:val="0"/>
          <w:color w:val="auto"/>
          <w:sz w:val="32"/>
          <w:szCs w:val="32"/>
          <w:lang w:val="en-US" w:eastAsia="zh-CN"/>
        </w:rPr>
        <w:t>优化“巴中市网上中介超市”功能，完成巴中市网上服务中介超市与四川省行政审批中介服务网上超市系统对接工作，实现项目信息、中介机构库、中介事项库数据互通、信息共享。截至目前，“中介超市”受理项目1</w:t>
      </w:r>
      <w:r>
        <w:rPr>
          <w:rFonts w:hint="eastAsia" w:ascii="Times New Roman" w:hAnsi="Times New Roman" w:eastAsia="方正仿宋_GBK" w:cs="Times New Roman"/>
          <w:b w:val="0"/>
          <w:bCs w:val="0"/>
          <w:color w:val="auto"/>
          <w:sz w:val="32"/>
          <w:szCs w:val="32"/>
          <w:lang w:val="en-US" w:eastAsia="zh-CN"/>
        </w:rPr>
        <w:t>8</w:t>
      </w:r>
      <w:r>
        <w:rPr>
          <w:rFonts w:hint="default" w:ascii="Times New Roman" w:hAnsi="Times New Roman" w:eastAsia="方正仿宋_GBK" w:cs="Times New Roman"/>
          <w:b w:val="0"/>
          <w:bCs w:val="0"/>
          <w:color w:val="auto"/>
          <w:sz w:val="32"/>
          <w:szCs w:val="32"/>
          <w:lang w:val="en-US" w:eastAsia="zh-CN"/>
        </w:rPr>
        <w:t>1个，成交项目15</w:t>
      </w:r>
      <w:r>
        <w:rPr>
          <w:rFonts w:hint="eastAsia" w:ascii="Times New Roman" w:hAnsi="Times New Roman" w:eastAsia="方正仿宋_GBK" w:cs="Times New Roman"/>
          <w:b w:val="0"/>
          <w:bCs w:val="0"/>
          <w:color w:val="auto"/>
          <w:sz w:val="32"/>
          <w:szCs w:val="32"/>
          <w:lang w:val="en-US" w:eastAsia="zh-CN"/>
        </w:rPr>
        <w:t>8</w:t>
      </w:r>
      <w:r>
        <w:rPr>
          <w:rFonts w:hint="default" w:ascii="Times New Roman" w:hAnsi="Times New Roman" w:eastAsia="方正仿宋_GBK" w:cs="Times New Roman"/>
          <w:b w:val="0"/>
          <w:bCs w:val="0"/>
          <w:color w:val="auto"/>
          <w:sz w:val="32"/>
          <w:szCs w:val="32"/>
          <w:lang w:val="en-US" w:eastAsia="zh-CN"/>
        </w:rPr>
        <w:t>个，交易总额512.33万元，成交总额436.68万元，节约财政资金75.65万元，节资率达14.76%。</w:t>
      </w:r>
      <w:r>
        <w:rPr>
          <w:rFonts w:hint="eastAsia" w:ascii="Times New Roman" w:hAnsi="Times New Roman" w:eastAsia="方正仿宋_GBK" w:cs="Times New Roman"/>
          <w:b/>
          <w:bCs/>
          <w:sz w:val="32"/>
          <w:szCs w:val="32"/>
          <w:lang w:val="en-US" w:eastAsia="zh-CN"/>
        </w:rPr>
        <w:t>三</w:t>
      </w:r>
      <w:r>
        <w:rPr>
          <w:rFonts w:hint="default" w:ascii="Times New Roman" w:hAnsi="Times New Roman" w:eastAsia="方正仿宋_GBK" w:cs="Times New Roman"/>
          <w:b/>
          <w:bCs/>
          <w:sz w:val="32"/>
          <w:szCs w:val="32"/>
          <w:lang w:val="en-US" w:eastAsia="zh-CN"/>
        </w:rPr>
        <w:t>是创新便民服务举措。</w:t>
      </w:r>
      <w:r>
        <w:rPr>
          <w:rFonts w:hint="default" w:ascii="Times New Roman" w:hAnsi="Times New Roman" w:eastAsia="方正仿宋_GBK" w:cs="Times New Roman"/>
          <w:sz w:val="32"/>
          <w:szCs w:val="32"/>
          <w:lang w:val="en-US" w:eastAsia="zh-CN"/>
        </w:rPr>
        <w:t>创新“政务服务+邮政、移动、金融”等“政务服务+N”模式，</w:t>
      </w:r>
      <w:r>
        <w:rPr>
          <w:rFonts w:hint="default" w:ascii="Times New Roman" w:hAnsi="Times New Roman" w:eastAsia="方正仿宋_GBK" w:cs="Times New Roman"/>
          <w:sz w:val="32"/>
          <w:szCs w:val="32"/>
          <w:lang w:val="en-US" w:eastAsia="zh-CN" w:bidi="ar-SA"/>
        </w:rPr>
        <w:t>梳理196项政务服务事项，编制形成《巴中市“政务服务+N”多点代办事项清单》，</w:t>
      </w:r>
      <w:r>
        <w:rPr>
          <w:rFonts w:hint="default" w:ascii="Times New Roman" w:hAnsi="Times New Roman" w:eastAsia="方正仿宋_GBK" w:cs="Times New Roman"/>
          <w:sz w:val="32"/>
          <w:szCs w:val="32"/>
          <w:lang w:val="en-US" w:eastAsia="zh-CN"/>
        </w:rPr>
        <w:t>率先在全市</w:t>
      </w:r>
      <w:r>
        <w:rPr>
          <w:rFonts w:hint="default" w:ascii="Times New Roman" w:hAnsi="Times New Roman" w:eastAsia="方正仿宋_GBK" w:cs="Times New Roman"/>
          <w:color w:val="auto"/>
          <w:sz w:val="32"/>
          <w:szCs w:val="32"/>
          <w:lang w:val="en-US" w:eastAsia="zh-CN"/>
        </w:rPr>
        <w:t>108个邮政网点、</w:t>
      </w:r>
      <w:r>
        <w:rPr>
          <w:rFonts w:hint="eastAsia"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lang w:val="en-US" w:eastAsia="zh-CN"/>
        </w:rPr>
        <w:t>0个移动网点建成</w:t>
      </w:r>
      <w:r>
        <w:rPr>
          <w:rFonts w:hint="default" w:ascii="Times New Roman" w:hAnsi="Times New Roman" w:eastAsia="方正仿宋_GBK" w:cs="Times New Roman"/>
          <w:sz w:val="32"/>
          <w:szCs w:val="32"/>
          <w:lang w:val="en-US" w:eastAsia="zh-CN"/>
        </w:rPr>
        <w:t>“政务服务专窗”</w:t>
      </w:r>
      <w:r>
        <w:rPr>
          <w:rFonts w:hint="default" w:ascii="Times New Roman" w:hAnsi="Times New Roman" w:eastAsia="方正仿宋_GBK" w:cs="Times New Roman"/>
          <w:color w:val="auto"/>
          <w:sz w:val="32"/>
          <w:szCs w:val="32"/>
          <w:lang w:val="en-US" w:eastAsia="zh-CN"/>
        </w:rPr>
        <w:t>，将178项、141项政务服务事项分别纳入邮政、移动网点帮办，</w:t>
      </w:r>
      <w:r>
        <w:rPr>
          <w:rFonts w:hint="default" w:ascii="Times New Roman" w:hAnsi="Times New Roman" w:eastAsia="方正仿宋_GBK" w:cs="Times New Roman"/>
          <w:sz w:val="32"/>
          <w:szCs w:val="32"/>
          <w:lang w:val="en-US" w:eastAsia="zh-CN"/>
        </w:rPr>
        <w:t>着力打造城区15分钟、乡村30分钟政务服务“便民圈”。推行园区“一站式”服务，大力开展项目审批服务攻坚，构建一个项目、一名“跑手”、一套方案的“三个一”代办服务模式，为全市220个省市重点项目提供全程代办服务。</w:t>
      </w:r>
      <w:r>
        <w:rPr>
          <w:rFonts w:hint="eastAsia" w:ascii="Times New Roman" w:hAnsi="Times New Roman" w:eastAsia="方正仿宋_GBK" w:cs="Times New Roman"/>
          <w:b/>
          <w:bCs/>
          <w:sz w:val="32"/>
          <w:szCs w:val="32"/>
          <w:lang w:val="en-US" w:eastAsia="zh-CN"/>
        </w:rPr>
        <w:t>四</w:t>
      </w:r>
      <w:r>
        <w:rPr>
          <w:rFonts w:hint="default" w:ascii="Times New Roman" w:hAnsi="Times New Roman" w:eastAsia="方正仿宋_GBK" w:cs="Times New Roman"/>
          <w:b/>
          <w:bCs/>
          <w:sz w:val="32"/>
          <w:szCs w:val="32"/>
          <w:lang w:val="en-US" w:eastAsia="zh-CN"/>
        </w:rPr>
        <w:t>是优化便民服务方式。</w:t>
      </w:r>
      <w:r>
        <w:rPr>
          <w:rFonts w:hint="default" w:ascii="Times New Roman" w:hAnsi="Times New Roman" w:eastAsia="方正仿宋_GBK" w:cs="Times New Roman"/>
          <w:color w:val="auto"/>
          <w:sz w:val="32"/>
          <w:szCs w:val="32"/>
          <w:lang w:eastAsia="zh-CN"/>
        </w:rPr>
        <w:t>大力推进“全程网办”“跨省通办”</w:t>
      </w:r>
      <w:r>
        <w:rPr>
          <w:rFonts w:hint="default" w:ascii="Times New Roman" w:hAnsi="Times New Roman" w:eastAsia="方正仿宋_GBK" w:cs="Times New Roman"/>
          <w:color w:val="auto"/>
          <w:sz w:val="32"/>
          <w:szCs w:val="32"/>
        </w:rPr>
        <w:t>“市域通办”</w:t>
      </w:r>
      <w:r>
        <w:rPr>
          <w:rFonts w:hint="default" w:ascii="Times New Roman" w:hAnsi="Times New Roman" w:eastAsia="方正仿宋_GBK" w:cs="Times New Roman"/>
          <w:color w:val="auto"/>
          <w:sz w:val="32"/>
          <w:szCs w:val="32"/>
          <w:lang w:eastAsia="zh-CN"/>
        </w:rPr>
        <w:t>改革</w:t>
      </w:r>
      <w:r>
        <w:rPr>
          <w:rFonts w:hint="default" w:ascii="Times New Roman" w:hAnsi="Times New Roman" w:eastAsia="方正仿宋_GBK" w:cs="Times New Roman"/>
          <w:color w:val="auto"/>
          <w:sz w:val="32"/>
          <w:szCs w:val="32"/>
        </w:rPr>
        <w:t>，以线上“数据跑”代替企业群众跑</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b w:val="0"/>
          <w:bCs w:val="0"/>
          <w:color w:val="auto"/>
          <w:sz w:val="32"/>
          <w:szCs w:val="32"/>
        </w:rPr>
        <w:t>深化“巴中跑团”服务</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sz w:val="32"/>
          <w:szCs w:val="32"/>
          <w:lang w:val="en-US" w:eastAsia="zh-CN"/>
        </w:rPr>
        <w:t>以线上“数据跑”为主、线下“人工跑”为辅，根据企业和群众现实需求、办理难易程度分批梳理代办服务事项300余项，选取“跑手”8900余名，通过远程指导办、现场辅助办、线下帮代办等3种个性化代办服务方式，</w:t>
      </w:r>
      <w:r>
        <w:rPr>
          <w:rFonts w:hint="default" w:ascii="Times New Roman" w:hAnsi="Times New Roman" w:eastAsia="方正仿宋_GBK" w:cs="Times New Roman"/>
          <w:color w:val="auto"/>
          <w:sz w:val="32"/>
          <w:szCs w:val="32"/>
        </w:rPr>
        <w:t>以线下“人工跑”帮助企业群众跑</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b w:val="0"/>
          <w:bCs w:val="0"/>
          <w:sz w:val="32"/>
          <w:szCs w:val="32"/>
          <w:lang w:val="en-US" w:eastAsia="zh-CN"/>
        </w:rPr>
        <w:t>为企业群众代办政务服务事项15万余件</w:t>
      </w:r>
      <w:r>
        <w:rPr>
          <w:rFonts w:hint="eastAsia" w:ascii="Times New Roman" w:hAnsi="Times New Roman" w:eastAsia="方正仿宋_GBK" w:cs="Times New Roman"/>
          <w:b w:val="0"/>
          <w:bCs w:val="0"/>
          <w:sz w:val="32"/>
          <w:szCs w:val="32"/>
          <w:lang w:val="en-US" w:eastAsia="zh-CN"/>
        </w:rPr>
        <w:t>。</w:t>
      </w:r>
      <w:r>
        <w:rPr>
          <w:rFonts w:hint="eastAsia" w:ascii="Times New Roman" w:hAnsi="Times New Roman" w:eastAsia="方正仿宋_GBK" w:cs="Times New Roman"/>
          <w:b/>
          <w:bCs/>
          <w:sz w:val="32"/>
          <w:szCs w:val="32"/>
          <w:lang w:val="en-US" w:eastAsia="zh-CN"/>
        </w:rPr>
        <w:t>五</w:t>
      </w:r>
      <w:r>
        <w:rPr>
          <w:rFonts w:hint="default" w:ascii="Times New Roman" w:hAnsi="Times New Roman" w:eastAsia="方正仿宋_GBK" w:cs="Times New Roman"/>
          <w:b/>
          <w:bCs/>
          <w:sz w:val="32"/>
          <w:szCs w:val="32"/>
          <w:lang w:val="en-US" w:eastAsia="zh-CN"/>
        </w:rPr>
        <w:t>是加快重点项目建设。</w:t>
      </w:r>
      <w:r>
        <w:rPr>
          <w:rFonts w:hint="default" w:ascii="Times New Roman" w:hAnsi="Times New Roman" w:eastAsia="方正仿宋_GBK" w:cs="Times New Roman"/>
          <w:b w:val="0"/>
          <w:bCs w:val="0"/>
          <w:sz w:val="32"/>
          <w:szCs w:val="32"/>
        </w:rPr>
        <w:t>坚持“项目为王”工作理念，</w:t>
      </w:r>
      <w:r>
        <w:rPr>
          <w:rFonts w:hint="default" w:ascii="Times New Roman" w:hAnsi="Times New Roman" w:eastAsia="方正仿宋_GBK" w:cs="Times New Roman"/>
          <w:b w:val="0"/>
          <w:bCs w:val="0"/>
          <w:sz w:val="32"/>
          <w:szCs w:val="32"/>
          <w:lang w:eastAsia="zh-CN"/>
        </w:rPr>
        <w:t>大力推进</w:t>
      </w:r>
      <w:r>
        <w:rPr>
          <w:rFonts w:hint="default" w:ascii="Times New Roman" w:hAnsi="Times New Roman" w:eastAsia="方正仿宋_GBK" w:cs="Times New Roman"/>
          <w:b w:val="0"/>
          <w:bCs w:val="0"/>
          <w:sz w:val="32"/>
          <w:szCs w:val="32"/>
        </w:rPr>
        <w:t>“智慧巴中”核心支撑平台</w:t>
      </w:r>
      <w:r>
        <w:rPr>
          <w:rFonts w:hint="default" w:ascii="Times New Roman" w:hAnsi="Times New Roman" w:eastAsia="方正仿宋_GBK" w:cs="Times New Roman"/>
          <w:b w:val="0"/>
          <w:bCs w:val="0"/>
          <w:sz w:val="32"/>
          <w:szCs w:val="32"/>
          <w:lang w:eastAsia="zh-CN"/>
        </w:rPr>
        <w:t>项目建设，</w:t>
      </w:r>
      <w:r>
        <w:rPr>
          <w:rFonts w:hint="default" w:ascii="Times New Roman" w:hAnsi="Times New Roman" w:eastAsia="方正仿宋_GBK" w:cs="Times New Roman"/>
          <w:b w:val="0"/>
          <w:bCs w:val="0"/>
          <w:sz w:val="32"/>
          <w:szCs w:val="32"/>
        </w:rPr>
        <w:t>总投资4.04亿元，拟申报专项债3亿元</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sz w:val="32"/>
          <w:szCs w:val="32"/>
          <w:lang w:val="en-US" w:eastAsia="zh-CN"/>
        </w:rPr>
        <w:t>在巴中经开区规划选址30.31亩建设数字经济产业园区，投资1500万元建设川陕革命老区大数据中心、“巴事办”城市智能综合服务平台，已在第三届数字四川创新大赛数字乡村赛道正式上线。</w:t>
      </w:r>
      <w:r>
        <w:rPr>
          <w:rFonts w:hint="eastAsia" w:ascii="Times New Roman" w:hAnsi="Times New Roman" w:eastAsia="方正仿宋_GBK" w:cs="Times New Roman"/>
          <w:b/>
          <w:bCs/>
          <w:color w:val="auto"/>
          <w:sz w:val="32"/>
          <w:szCs w:val="32"/>
          <w:lang w:val="en-US" w:eastAsia="zh-CN"/>
        </w:rPr>
        <w:t>六</w:t>
      </w:r>
      <w:r>
        <w:rPr>
          <w:rFonts w:hint="default" w:ascii="Times New Roman" w:hAnsi="Times New Roman" w:eastAsia="方正仿宋_GBK" w:cs="Times New Roman"/>
          <w:b/>
          <w:bCs/>
          <w:color w:val="auto"/>
          <w:sz w:val="32"/>
          <w:szCs w:val="32"/>
          <w:lang w:val="en-US" w:eastAsia="zh-CN"/>
        </w:rPr>
        <w:t>是</w:t>
      </w:r>
      <w:r>
        <w:rPr>
          <w:rFonts w:hint="default" w:ascii="Times New Roman" w:hAnsi="Times New Roman" w:eastAsia="方正仿宋_GBK" w:cs="Times New Roman"/>
          <w:b/>
          <w:bCs/>
          <w:sz w:val="32"/>
          <w:szCs w:val="32"/>
          <w:lang w:val="en-US" w:eastAsia="zh-CN"/>
        </w:rPr>
        <w:t>积极赋能产业发展。</w:t>
      </w:r>
      <w:r>
        <w:rPr>
          <w:rFonts w:hint="default" w:ascii="Times New Roman" w:hAnsi="Times New Roman" w:eastAsia="方正仿宋_GBK" w:cs="Times New Roman"/>
          <w:i w:val="0"/>
          <w:caps w:val="0"/>
          <w:color w:val="auto"/>
          <w:spacing w:val="0"/>
          <w:kern w:val="0"/>
          <w:sz w:val="32"/>
          <w:szCs w:val="32"/>
          <w:shd w:val="clear" w:color="auto" w:fill="FFFFFF"/>
          <w:lang w:val="en-US" w:eastAsia="zh-CN" w:bidi="ar"/>
        </w:rPr>
        <w:t>举办第三届数字四川创新大赛数字乡村赛道，吸引北京、广东、四川等12个省份130余名选手、82个团队为南江黄羊、通江银耳、恩阳魔芋等本土农业品牌设计数字营销、智慧种养方案，引入京东科技等企业，投资5亿元建设数字农业产业园，以数字化手段解决农产品种养殖难、销售难、融资难等问题。启动100个数字乡村、100个智慧社区建设，打造数字化示范乡村（社区）。</w:t>
      </w:r>
    </w:p>
    <w:p>
      <w:pPr>
        <w:keepNext w:val="0"/>
        <w:keepLines w:val="0"/>
        <w:pageBreakBefore w:val="0"/>
        <w:widowControl/>
        <w:kinsoku/>
        <w:wordWrap/>
        <w:overflowPunct/>
        <w:topLinePunct w:val="0"/>
        <w:autoSpaceDE/>
        <w:autoSpaceDN/>
        <w:bidi w:val="0"/>
        <w:adjustRightInd w:val="0"/>
        <w:snapToGrid w:val="0"/>
        <w:spacing w:line="560" w:lineRule="exact"/>
        <w:ind w:firstLine="642"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（三）结果应用情况。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Times New Roman" w:hAnsi="Times New Roman" w:eastAsia="仿宋_GB2312" w:cs="Times New Roman"/>
          <w:b w:val="0"/>
          <w:bCs w:val="0"/>
          <w:color w:val="auto"/>
          <w:kern w:val="0"/>
          <w:sz w:val="32"/>
          <w:szCs w:val="32"/>
          <w:highlight w:val="none"/>
          <w:shd w:val="clear" w:color="auto" w:fill="FFFFFF"/>
          <w:lang w:val="zh-CN" w:eastAsia="zh-CN"/>
        </w:rPr>
      </w:pPr>
      <w:r>
        <w:rPr>
          <w:rFonts w:hint="eastAsia" w:ascii="Times New Roman" w:hAnsi="Times New Roman" w:eastAsia="仿宋_GB2312" w:cs="Times New Roman"/>
          <w:b w:val="0"/>
          <w:bCs w:val="0"/>
          <w:color w:val="auto"/>
          <w:kern w:val="0"/>
          <w:sz w:val="32"/>
          <w:szCs w:val="32"/>
          <w:highlight w:val="none"/>
          <w:shd w:val="clear" w:color="auto" w:fill="FFFFFF"/>
          <w:lang w:val="zh-CN" w:eastAsia="zh-CN"/>
        </w:rPr>
        <w:t>绩效评价结果作为下年安排部门预算项目资金的重要依据，为预算编制提供参考。利用绩效评价结果，促进</w:t>
      </w:r>
      <w:r>
        <w:rPr>
          <w:rFonts w:hint="eastAsia" w:ascii="Times New Roman" w:hAnsi="Times New Roman" w:eastAsia="仿宋_GB2312" w:cs="Times New Roman"/>
          <w:b w:val="0"/>
          <w:bCs w:val="0"/>
          <w:color w:val="auto"/>
          <w:kern w:val="0"/>
          <w:sz w:val="32"/>
          <w:szCs w:val="32"/>
          <w:highlight w:val="none"/>
          <w:shd w:val="clear" w:color="auto" w:fill="FFFFFF"/>
          <w:lang w:val="en-US" w:eastAsia="zh-CN"/>
        </w:rPr>
        <w:t>局机关</w:t>
      </w:r>
      <w:r>
        <w:rPr>
          <w:rFonts w:hint="eastAsia" w:ascii="Times New Roman" w:hAnsi="Times New Roman" w:eastAsia="仿宋_GB2312" w:cs="Times New Roman"/>
          <w:b w:val="0"/>
          <w:bCs w:val="0"/>
          <w:color w:val="auto"/>
          <w:kern w:val="0"/>
          <w:sz w:val="32"/>
          <w:szCs w:val="32"/>
          <w:highlight w:val="none"/>
          <w:shd w:val="clear" w:color="auto" w:fill="FFFFFF"/>
          <w:lang w:val="zh-CN" w:eastAsia="zh-CN"/>
        </w:rPr>
        <w:t>各</w:t>
      </w:r>
      <w:r>
        <w:rPr>
          <w:rFonts w:hint="eastAsia" w:ascii="Times New Roman" w:hAnsi="Times New Roman" w:eastAsia="仿宋_GB2312" w:cs="Times New Roman"/>
          <w:b w:val="0"/>
          <w:bCs w:val="0"/>
          <w:color w:val="auto"/>
          <w:kern w:val="0"/>
          <w:sz w:val="32"/>
          <w:szCs w:val="32"/>
          <w:highlight w:val="none"/>
          <w:shd w:val="clear" w:color="auto" w:fill="FFFFFF"/>
          <w:lang w:val="en-US" w:eastAsia="zh-CN"/>
        </w:rPr>
        <w:t>科室</w:t>
      </w:r>
      <w:r>
        <w:rPr>
          <w:rFonts w:hint="eastAsia" w:ascii="Times New Roman" w:hAnsi="Times New Roman" w:eastAsia="仿宋_GB2312" w:cs="Times New Roman"/>
          <w:b w:val="0"/>
          <w:bCs w:val="0"/>
          <w:color w:val="auto"/>
          <w:kern w:val="0"/>
          <w:sz w:val="32"/>
          <w:szCs w:val="32"/>
          <w:highlight w:val="none"/>
          <w:shd w:val="clear" w:color="auto" w:fill="FFFFFF"/>
          <w:lang w:val="zh-CN" w:eastAsia="zh-CN"/>
        </w:rPr>
        <w:t>增强责任和效益观念，提高财政资金支出决策水平、管理水平和资金使用效果。对绩效评价结果中存在的问题，督促落实整改措施，及时督促相关</w:t>
      </w:r>
      <w:r>
        <w:rPr>
          <w:rFonts w:hint="eastAsia" w:ascii="Times New Roman" w:hAnsi="Times New Roman" w:eastAsia="仿宋_GB2312" w:cs="Times New Roman"/>
          <w:b w:val="0"/>
          <w:bCs w:val="0"/>
          <w:color w:val="auto"/>
          <w:kern w:val="0"/>
          <w:sz w:val="32"/>
          <w:szCs w:val="32"/>
          <w:highlight w:val="none"/>
          <w:shd w:val="clear" w:color="auto" w:fill="FFFFFF"/>
          <w:lang w:val="en-US" w:eastAsia="zh-CN"/>
        </w:rPr>
        <w:t>科室</w:t>
      </w:r>
      <w:r>
        <w:rPr>
          <w:rFonts w:hint="eastAsia" w:ascii="Times New Roman" w:hAnsi="Times New Roman" w:eastAsia="仿宋_GB2312" w:cs="Times New Roman"/>
          <w:b w:val="0"/>
          <w:bCs w:val="0"/>
          <w:color w:val="auto"/>
          <w:kern w:val="0"/>
          <w:sz w:val="32"/>
          <w:szCs w:val="32"/>
          <w:highlight w:val="none"/>
          <w:shd w:val="clear" w:color="auto" w:fill="FFFFFF"/>
          <w:lang w:val="zh-CN" w:eastAsia="zh-CN"/>
        </w:rPr>
        <w:t>调整工作计划、绩效目标，加强项目财务管理，提高资金使用效益。</w:t>
      </w:r>
    </w:p>
    <w:p>
      <w:pPr>
        <w:keepNext w:val="0"/>
        <w:keepLines w:val="0"/>
        <w:pageBreakBefore w:val="0"/>
        <w:widowControl/>
        <w:numPr>
          <w:ilvl w:val="0"/>
          <w:numId w:val="8"/>
        </w:numPr>
        <w:kinsoku/>
        <w:wordWrap/>
        <w:overflowPunct/>
        <w:topLinePunct w:val="0"/>
        <w:autoSpaceDE/>
        <w:autoSpaceDN/>
        <w:bidi w:val="0"/>
        <w:adjustRightInd w:val="0"/>
        <w:snapToGrid w:val="0"/>
        <w:spacing w:line="560" w:lineRule="exact"/>
        <w:ind w:firstLine="642"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自评质量。</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Times New Roman" w:hAnsi="Times New Roman" w:eastAsia="仿宋_GB2312" w:cs="Times New Roman"/>
          <w:b w:val="0"/>
          <w:bCs w:val="0"/>
          <w:color w:val="auto"/>
          <w:kern w:val="0"/>
          <w:sz w:val="32"/>
          <w:szCs w:val="32"/>
          <w:highlight w:val="none"/>
          <w:shd w:val="clear" w:color="auto" w:fill="FFFFFF"/>
          <w:lang w:val="en-US" w:eastAsia="zh-CN"/>
        </w:rPr>
      </w:pPr>
      <w:bookmarkStart w:id="81" w:name="_Toc1313"/>
      <w:r>
        <w:rPr>
          <w:rFonts w:hint="default" w:ascii="Times New Roman" w:hAnsi="Times New Roman" w:eastAsia="仿宋_GB2312" w:cs="Times New Roman"/>
          <w:b w:val="0"/>
          <w:bCs w:val="0"/>
          <w:color w:val="auto"/>
          <w:kern w:val="0"/>
          <w:sz w:val="32"/>
          <w:szCs w:val="32"/>
          <w:highlight w:val="none"/>
          <w:shd w:val="clear" w:color="auto" w:fill="FFFFFF"/>
          <w:lang w:val="en-US" w:eastAsia="zh-CN"/>
        </w:rPr>
        <w:t>我局2022年度项目资金绩效自评综合得分为98分。因数据共享开放能力提升技术支撑服务系2021年开始，总预算35万元，截至2022年底已支付项目款项17.41万元，</w:t>
      </w:r>
      <w:r>
        <w:rPr>
          <w:rFonts w:hint="default" w:ascii="Times New Roman" w:hAnsi="Times New Roman" w:eastAsia="仿宋_GB2312" w:cs="Times New Roman"/>
          <w:b w:val="0"/>
          <w:bCs w:val="0"/>
          <w:color w:val="auto"/>
          <w:kern w:val="0"/>
          <w:sz w:val="32"/>
          <w:szCs w:val="32"/>
          <w:highlight w:val="none"/>
          <w:shd w:val="clear" w:color="auto" w:fill="FFFFFF"/>
          <w:lang w:val="zh-CN" w:eastAsia="zh-CN"/>
        </w:rPr>
        <w:t>实施计划</w:t>
      </w:r>
      <w:r>
        <w:rPr>
          <w:rFonts w:hint="default" w:ascii="Times New Roman" w:hAnsi="Times New Roman" w:eastAsia="仿宋_GB2312" w:cs="Times New Roman"/>
          <w:b w:val="0"/>
          <w:bCs w:val="0"/>
          <w:color w:val="auto"/>
          <w:kern w:val="0"/>
          <w:sz w:val="32"/>
          <w:szCs w:val="32"/>
          <w:highlight w:val="none"/>
          <w:shd w:val="clear" w:color="auto" w:fill="FFFFFF"/>
          <w:lang w:val="en-US" w:eastAsia="zh-CN"/>
        </w:rPr>
        <w:t>49.74</w:t>
      </w:r>
      <w:r>
        <w:rPr>
          <w:rFonts w:hint="default" w:ascii="Times New Roman" w:hAnsi="Times New Roman" w:eastAsia="仿宋_GB2312" w:cs="Times New Roman"/>
          <w:b w:val="0"/>
          <w:bCs w:val="0"/>
          <w:color w:val="auto"/>
          <w:kern w:val="0"/>
          <w:sz w:val="32"/>
          <w:szCs w:val="32"/>
          <w:highlight w:val="none"/>
          <w:shd w:val="clear" w:color="auto" w:fill="FFFFFF"/>
          <w:lang w:val="zh-CN" w:eastAsia="zh-CN"/>
        </w:rPr>
        <w:t>%，预算执行偏差度</w:t>
      </w:r>
      <w:r>
        <w:rPr>
          <w:rFonts w:hint="default" w:ascii="Times New Roman" w:hAnsi="Times New Roman" w:eastAsia="仿宋_GB2312" w:cs="Times New Roman"/>
          <w:b w:val="0"/>
          <w:bCs w:val="0"/>
          <w:color w:val="auto"/>
          <w:kern w:val="0"/>
          <w:sz w:val="32"/>
          <w:szCs w:val="32"/>
          <w:highlight w:val="none"/>
          <w:shd w:val="clear" w:color="auto" w:fill="FFFFFF"/>
          <w:lang w:val="en-US" w:eastAsia="zh-CN"/>
        </w:rPr>
        <w:t>超10%，部门项目预算支出和部门预算项目执行率各扣1分，具体自评情况见附表。</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outlineLvl w:val="1"/>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四、评价结论及建议</w:t>
      </w:r>
      <w:bookmarkEnd w:id="81"/>
    </w:p>
    <w:p>
      <w:pPr>
        <w:keepNext w:val="0"/>
        <w:keepLines w:val="0"/>
        <w:pageBreakBefore w:val="0"/>
        <w:widowControl/>
        <w:kinsoku/>
        <w:wordWrap/>
        <w:overflowPunct/>
        <w:topLinePunct w:val="0"/>
        <w:autoSpaceDE/>
        <w:autoSpaceDN/>
        <w:bidi w:val="0"/>
        <w:adjustRightInd w:val="0"/>
        <w:snapToGrid w:val="0"/>
        <w:spacing w:line="560" w:lineRule="exact"/>
        <w:ind w:firstLine="642"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（一）评价结论。</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Times New Roman" w:hAnsi="Times New Roman" w:eastAsia="仿宋_GB2312" w:cs="Times New Roman"/>
          <w:b w:val="0"/>
          <w:bCs w:val="0"/>
          <w:color w:val="auto"/>
          <w:kern w:val="0"/>
          <w:sz w:val="32"/>
          <w:szCs w:val="32"/>
          <w:highlight w:val="none"/>
          <w:shd w:val="clear" w:color="auto" w:fill="FFFFFF"/>
          <w:lang w:val="zh-CN" w:eastAsia="zh-CN"/>
        </w:rPr>
      </w:pPr>
      <w:r>
        <w:rPr>
          <w:rFonts w:hint="default" w:ascii="Times New Roman" w:hAnsi="Times New Roman" w:eastAsia="仿宋_GB2312" w:cs="Times New Roman"/>
          <w:b w:val="0"/>
          <w:bCs w:val="0"/>
          <w:color w:val="auto"/>
          <w:kern w:val="0"/>
          <w:sz w:val="32"/>
          <w:szCs w:val="32"/>
          <w:highlight w:val="none"/>
          <w:shd w:val="clear" w:color="auto" w:fill="FFFFFF"/>
          <w:lang w:val="en-US" w:eastAsia="zh-CN"/>
        </w:rPr>
        <w:t>经自评，202</w:t>
      </w:r>
      <w:r>
        <w:rPr>
          <w:rFonts w:hint="eastAsia" w:ascii="Times New Roman" w:hAnsi="Times New Roman" w:eastAsia="仿宋_GB2312" w:cs="Times New Roman"/>
          <w:b w:val="0"/>
          <w:bCs w:val="0"/>
          <w:color w:val="auto"/>
          <w:kern w:val="0"/>
          <w:sz w:val="32"/>
          <w:szCs w:val="32"/>
          <w:highlight w:val="none"/>
          <w:shd w:val="clear" w:color="auto" w:fill="FFFFFF"/>
          <w:lang w:val="en-US" w:eastAsia="zh-CN"/>
        </w:rPr>
        <w:t>2</w:t>
      </w:r>
      <w:r>
        <w:rPr>
          <w:rFonts w:hint="default" w:ascii="Times New Roman" w:hAnsi="Times New Roman" w:eastAsia="仿宋_GB2312" w:cs="Times New Roman"/>
          <w:b w:val="0"/>
          <w:bCs w:val="0"/>
          <w:color w:val="auto"/>
          <w:kern w:val="0"/>
          <w:sz w:val="32"/>
          <w:szCs w:val="32"/>
          <w:highlight w:val="none"/>
          <w:shd w:val="clear" w:color="auto" w:fill="FFFFFF"/>
          <w:lang w:val="en-US" w:eastAsia="zh-CN"/>
        </w:rPr>
        <w:t>年我局财政资金收支规范、管理制度健全，绩效目标任务全面完成，重点项目效益成效明显，财政资金使用效益明显提高，整体支出绩效自评为优秀。</w:t>
      </w:r>
    </w:p>
    <w:p>
      <w:pPr>
        <w:keepNext w:val="0"/>
        <w:keepLines w:val="0"/>
        <w:pageBreakBefore w:val="0"/>
        <w:widowControl/>
        <w:numPr>
          <w:ilvl w:val="0"/>
          <w:numId w:val="6"/>
        </w:numPr>
        <w:kinsoku/>
        <w:wordWrap/>
        <w:overflowPunct/>
        <w:topLinePunct w:val="0"/>
        <w:autoSpaceDE/>
        <w:autoSpaceDN/>
        <w:bidi w:val="0"/>
        <w:adjustRightInd w:val="0"/>
        <w:snapToGrid w:val="0"/>
        <w:spacing w:line="560" w:lineRule="exact"/>
        <w:ind w:left="0" w:leftChars="0" w:firstLine="720" w:firstLineChars="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存在问题。</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720" w:leftChars="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en-US" w:eastAsia="zh-CN"/>
        </w:rPr>
      </w:pPr>
      <w:r>
        <w:rPr>
          <w:rFonts w:hint="eastAsia" w:ascii="Times New Roman" w:hAnsi="Times New Roman" w:eastAsia="仿宋_GB2312" w:cs="Times New Roman"/>
          <w:b w:val="0"/>
          <w:bCs w:val="0"/>
          <w:color w:val="auto"/>
          <w:kern w:val="0"/>
          <w:sz w:val="32"/>
          <w:szCs w:val="32"/>
          <w:highlight w:val="none"/>
          <w:shd w:val="clear" w:color="auto" w:fill="FFFFFF"/>
          <w:lang w:val="en-US" w:eastAsia="zh-CN"/>
        </w:rPr>
        <w:t>无。</w:t>
      </w:r>
    </w:p>
    <w:p>
      <w:pPr>
        <w:keepNext w:val="0"/>
        <w:keepLines w:val="0"/>
        <w:pageBreakBefore w:val="0"/>
        <w:widowControl/>
        <w:numPr>
          <w:ilvl w:val="0"/>
          <w:numId w:val="6"/>
        </w:numPr>
        <w:kinsoku/>
        <w:wordWrap/>
        <w:overflowPunct/>
        <w:topLinePunct w:val="0"/>
        <w:autoSpaceDE/>
        <w:autoSpaceDN/>
        <w:bidi w:val="0"/>
        <w:adjustRightInd w:val="0"/>
        <w:snapToGrid w:val="0"/>
        <w:spacing w:line="560" w:lineRule="exact"/>
        <w:ind w:left="0" w:leftChars="0" w:firstLine="720" w:firstLineChars="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改进建议。</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Times New Roman" w:hAnsi="Times New Roman" w:eastAsia="仿宋_GB2312" w:cs="Times New Roman"/>
          <w:b w:val="0"/>
          <w:bCs w:val="0"/>
          <w:color w:val="auto"/>
          <w:kern w:val="0"/>
          <w:sz w:val="32"/>
          <w:szCs w:val="32"/>
          <w:highlight w:val="none"/>
          <w:shd w:val="clear" w:color="auto" w:fill="FFFFFF"/>
          <w:lang w:val="en-US" w:eastAsia="zh-CN"/>
        </w:rPr>
      </w:pPr>
      <w:r>
        <w:rPr>
          <w:rFonts w:hint="default" w:ascii="Times New Roman" w:hAnsi="Times New Roman" w:eastAsia="仿宋_GB2312" w:cs="Times New Roman"/>
          <w:b w:val="0"/>
          <w:bCs w:val="0"/>
          <w:color w:val="auto"/>
          <w:kern w:val="0"/>
          <w:sz w:val="32"/>
          <w:szCs w:val="32"/>
          <w:highlight w:val="none"/>
          <w:shd w:val="clear" w:color="auto" w:fill="FFFFFF"/>
          <w:lang w:val="en-US" w:eastAsia="zh-CN"/>
        </w:rPr>
        <w:t>对于以后年度预算安排提出以下建议：1.细化预算编制工作，认真做好预算的编制，编制范围尽可能的全面、不漏项；进一步提高预算编制的科学性、合理性、严谨性和可控性。2.加强绩效评价管理制度和流程的建设，进一步深化、完善绩效管理体系，建立全过程的绩效管理机制。3.规范绩效评价管理资料的收集整理，确保相关信息完善、可靠，客观公正地反映项目资金实际使用和产生的绩效状况。</w:t>
      </w:r>
    </w:p>
    <w:p>
      <w:pPr>
        <w:pStyle w:val="2"/>
        <w:numPr>
          <w:ilvl w:val="0"/>
          <w:numId w:val="0"/>
        </w:numPr>
        <w:ind w:left="720" w:leftChars="0"/>
        <w:rPr>
          <w:rFonts w:hint="eastAsia"/>
          <w:lang w:val="zh-CN"/>
        </w:rPr>
      </w:pPr>
    </w:p>
    <w:p>
      <w:pPr>
        <w:pStyle w:val="14"/>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hAnsi="宋体" w:cs="宋体"/>
          <w:color w:val="auto"/>
          <w:kern w:val="0"/>
          <w:sz w:val="32"/>
          <w:szCs w:val="32"/>
          <w:highlight w:val="none"/>
          <w:shd w:val="clear" w:color="auto" w:fill="FFFFFF"/>
          <w:lang w:val="zh-CN"/>
        </w:rPr>
      </w:pPr>
      <w:r>
        <w:rPr>
          <w:rFonts w:hint="eastAsia" w:ascii="仿宋_GB2312" w:hAnsi="仿宋_GB2312" w:eastAsia="仿宋_GB2312" w:cs="仿宋_GB2312"/>
          <w:color w:val="auto"/>
          <w:sz w:val="32"/>
          <w:szCs w:val="32"/>
          <w:highlight w:val="none"/>
          <w:lang w:val="zh-CN" w:eastAsia="zh-CN"/>
        </w:rPr>
        <w:t>附表：</w:t>
      </w:r>
      <w:r>
        <w:rPr>
          <w:rFonts w:hint="eastAsia" w:ascii="仿宋_GB2312" w:hAnsi="仿宋_GB2312" w:eastAsia="仿宋_GB2312" w:cs="仿宋_GB2312"/>
          <w:color w:val="auto"/>
          <w:sz w:val="32"/>
          <w:szCs w:val="32"/>
          <w:highlight w:val="none"/>
          <w:lang w:val="en-US" w:eastAsia="zh-CN"/>
        </w:rPr>
        <w:t>部门预算项目支出绩效自评表（2022年度）</w:t>
      </w:r>
    </w:p>
    <w:tbl>
      <w:tblPr>
        <w:tblStyle w:val="15"/>
        <w:tblpPr w:leftFromText="180" w:rightFromText="180" w:vertAnchor="text" w:horzAnchor="page" w:tblpX="1538" w:tblpY="-2"/>
        <w:tblOverlap w:val="never"/>
        <w:tblW w:w="9376" w:type="dxa"/>
        <w:tblInd w:w="0" w:type="dxa"/>
        <w:tblLayout w:type="fixed"/>
        <w:tblCellMar>
          <w:top w:w="0" w:type="dxa"/>
          <w:left w:w="108" w:type="dxa"/>
          <w:bottom w:w="0" w:type="dxa"/>
          <w:right w:w="108" w:type="dxa"/>
        </w:tblCellMar>
      </w:tblPr>
      <w:tblGrid>
        <w:gridCol w:w="722"/>
        <w:gridCol w:w="1060"/>
        <w:gridCol w:w="968"/>
        <w:gridCol w:w="472"/>
        <w:gridCol w:w="2078"/>
        <w:gridCol w:w="150"/>
        <w:gridCol w:w="2940"/>
        <w:gridCol w:w="561"/>
      </w:tblGrid>
      <w:tr>
        <w:tblPrEx>
          <w:tblCellMar>
            <w:top w:w="0" w:type="dxa"/>
            <w:left w:w="108" w:type="dxa"/>
            <w:bottom w:w="0" w:type="dxa"/>
            <w:right w:w="108" w:type="dxa"/>
          </w:tblCellMar>
        </w:tblPrEx>
        <w:trPr>
          <w:trHeight w:val="520" w:hRule="atLeast"/>
        </w:trPr>
        <w:tc>
          <w:tcPr>
            <w:tcW w:w="8951" w:type="dxa"/>
            <w:gridSpan w:val="8"/>
            <w:tcBorders>
              <w:top w:val="nil"/>
              <w:left w:val="nil"/>
              <w:bottom w:val="nil"/>
              <w:right w:val="nil"/>
            </w:tcBorders>
            <w:noWrap/>
            <w:vAlign w:val="center"/>
          </w:tcPr>
          <w:p>
            <w:pPr>
              <w:widowControl/>
              <w:jc w:val="center"/>
              <w:textAlignment w:val="center"/>
              <w:rPr>
                <w:rFonts w:hint="eastAsia" w:ascii="方正小标宋简体" w:eastAsia="方正小标宋简体" w:cs="黑体"/>
                <w:color w:val="000000"/>
                <w:sz w:val="36"/>
                <w:szCs w:val="36"/>
                <w:lang w:bidi="ar-SA"/>
              </w:rPr>
            </w:pPr>
            <w:r>
              <w:rPr>
                <w:rFonts w:hint="eastAsia" w:ascii="方正小标宋简体" w:eastAsia="方正小标宋简体" w:cs="黑体"/>
                <w:color w:val="000000"/>
                <w:sz w:val="36"/>
                <w:szCs w:val="36"/>
                <w:lang w:val="en-US" w:eastAsia="zh-CN" w:bidi="ar-SA"/>
              </w:rPr>
              <w:t>部门预算项目支出绩效自评表（2022年度）</w:t>
            </w:r>
          </w:p>
        </w:tc>
      </w:tr>
      <w:tr>
        <w:tblPrEx>
          <w:tblCellMar>
            <w:top w:w="0" w:type="dxa"/>
            <w:left w:w="108" w:type="dxa"/>
            <w:bottom w:w="0" w:type="dxa"/>
            <w:right w:w="108" w:type="dxa"/>
          </w:tblCellMar>
        </w:tblPrEx>
        <w:trPr>
          <w:trHeight w:val="1670" w:hRule="atLeast"/>
        </w:trPr>
        <w:tc>
          <w:tcPr>
            <w:tcW w:w="7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微软雅黑" w:eastAsia="微软雅黑" w:cs="微软雅黑"/>
                <w:b/>
                <w:bCs/>
                <w:color w:val="000000"/>
                <w:sz w:val="18"/>
                <w:szCs w:val="18"/>
                <w:lang w:bidi="ar-SA"/>
              </w:rPr>
            </w:pPr>
            <w:r>
              <w:rPr>
                <w:rFonts w:hint="eastAsia" w:ascii="微软雅黑" w:eastAsia="微软雅黑" w:cs="微软雅黑"/>
                <w:b/>
                <w:bCs/>
                <w:color w:val="000000"/>
                <w:kern w:val="0"/>
                <w:sz w:val="18"/>
                <w:szCs w:val="18"/>
                <w:lang w:bidi="ar"/>
              </w:rPr>
              <w:t>一级指标</w:t>
            </w: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微软雅黑" w:eastAsia="微软雅黑" w:cs="微软雅黑"/>
                <w:b/>
                <w:bCs/>
                <w:color w:val="000000"/>
                <w:sz w:val="18"/>
                <w:szCs w:val="18"/>
                <w:lang w:bidi="ar-SA"/>
              </w:rPr>
            </w:pPr>
            <w:r>
              <w:rPr>
                <w:rFonts w:hint="eastAsia" w:ascii="微软雅黑" w:eastAsia="微软雅黑" w:cs="微软雅黑"/>
                <w:b/>
                <w:bCs/>
                <w:color w:val="000000"/>
                <w:kern w:val="0"/>
                <w:sz w:val="18"/>
                <w:szCs w:val="18"/>
                <w:lang w:bidi="ar"/>
              </w:rPr>
              <w:t>二级指标</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微软雅黑" w:eastAsia="微软雅黑" w:cs="微软雅黑"/>
                <w:b/>
                <w:bCs/>
                <w:color w:val="000000"/>
                <w:sz w:val="18"/>
                <w:szCs w:val="18"/>
                <w:lang w:bidi="ar-SA"/>
              </w:rPr>
            </w:pPr>
            <w:r>
              <w:rPr>
                <w:rFonts w:hint="eastAsia" w:ascii="微软雅黑" w:eastAsia="微软雅黑" w:cs="微软雅黑"/>
                <w:b/>
                <w:bCs/>
                <w:color w:val="000000"/>
                <w:kern w:val="0"/>
                <w:sz w:val="18"/>
                <w:szCs w:val="18"/>
                <w:lang w:bidi="ar"/>
              </w:rPr>
              <w:t>三级指标</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微软雅黑" w:eastAsia="微软雅黑" w:cs="微软雅黑"/>
                <w:b/>
                <w:bCs/>
                <w:color w:val="000000"/>
                <w:sz w:val="18"/>
                <w:szCs w:val="18"/>
                <w:lang w:bidi="ar-SA"/>
              </w:rPr>
            </w:pPr>
            <w:r>
              <w:rPr>
                <w:rFonts w:hint="eastAsia" w:ascii="微软雅黑" w:eastAsia="微软雅黑" w:cs="微软雅黑"/>
                <w:b/>
                <w:bCs/>
                <w:color w:val="000000"/>
                <w:kern w:val="0"/>
                <w:sz w:val="18"/>
                <w:szCs w:val="18"/>
                <w:lang w:bidi="ar"/>
              </w:rPr>
              <w:t>分值</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微软雅黑" w:eastAsia="微软雅黑" w:cs="微软雅黑"/>
                <w:b/>
                <w:bCs/>
                <w:color w:val="000000"/>
                <w:sz w:val="18"/>
                <w:szCs w:val="18"/>
                <w:lang w:bidi="ar-SA"/>
              </w:rPr>
            </w:pPr>
            <w:r>
              <w:rPr>
                <w:rFonts w:hint="eastAsia" w:ascii="微软雅黑" w:eastAsia="微软雅黑" w:cs="微软雅黑"/>
                <w:b/>
                <w:bCs/>
                <w:color w:val="000000"/>
                <w:kern w:val="0"/>
                <w:sz w:val="18"/>
                <w:szCs w:val="18"/>
                <w:lang w:bidi="ar"/>
              </w:rPr>
              <w:t>评价内容</w:t>
            </w:r>
          </w:p>
        </w:tc>
        <w:tc>
          <w:tcPr>
            <w:tcW w:w="309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微软雅黑" w:eastAsia="微软雅黑" w:cs="微软雅黑"/>
                <w:b/>
                <w:bCs/>
                <w:color w:val="000000"/>
                <w:sz w:val="18"/>
                <w:szCs w:val="18"/>
                <w:lang w:bidi="ar-SA"/>
              </w:rPr>
            </w:pPr>
            <w:r>
              <w:rPr>
                <w:rFonts w:hint="eastAsia" w:ascii="微软雅黑" w:eastAsia="微软雅黑" w:cs="微软雅黑"/>
                <w:b/>
                <w:bCs/>
                <w:color w:val="000000"/>
                <w:kern w:val="0"/>
                <w:sz w:val="18"/>
                <w:szCs w:val="18"/>
                <w:lang w:bidi="ar"/>
              </w:rPr>
              <w:t>评价标准及计算方法</w:t>
            </w: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微软雅黑" w:eastAsia="微软雅黑" w:cs="微软雅黑"/>
                <w:b/>
                <w:bCs/>
                <w:color w:val="000000"/>
                <w:sz w:val="18"/>
                <w:szCs w:val="18"/>
                <w:lang w:bidi="ar-SA"/>
              </w:rPr>
            </w:pPr>
            <w:r>
              <w:rPr>
                <w:rFonts w:hint="eastAsia" w:ascii="微软雅黑" w:eastAsia="微软雅黑" w:cs="微软雅黑"/>
                <w:b/>
                <w:bCs/>
                <w:color w:val="000000"/>
                <w:kern w:val="0"/>
                <w:sz w:val="18"/>
                <w:szCs w:val="18"/>
                <w:lang w:bidi="ar"/>
              </w:rPr>
              <w:t>评价得分</w:t>
            </w:r>
          </w:p>
        </w:tc>
      </w:tr>
      <w:tr>
        <w:tblPrEx>
          <w:tblCellMar>
            <w:top w:w="0" w:type="dxa"/>
            <w:left w:w="108" w:type="dxa"/>
            <w:bottom w:w="0" w:type="dxa"/>
            <w:right w:w="108" w:type="dxa"/>
          </w:tblCellMar>
        </w:tblPrEx>
        <w:trPr>
          <w:trHeight w:val="336" w:hRule="atLeast"/>
        </w:trPr>
        <w:tc>
          <w:tcPr>
            <w:tcW w:w="8390"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微软雅黑" w:eastAsia="微软雅黑" w:cs="微软雅黑"/>
                <w:b/>
                <w:bCs/>
                <w:color w:val="000000"/>
                <w:sz w:val="18"/>
                <w:szCs w:val="18"/>
                <w:lang w:bidi="ar-SA"/>
              </w:rPr>
            </w:pPr>
            <w:r>
              <w:rPr>
                <w:rFonts w:hint="eastAsia" w:ascii="微软雅黑" w:eastAsia="微软雅黑" w:cs="微软雅黑"/>
                <w:b/>
                <w:bCs/>
                <w:color w:val="000000"/>
                <w:kern w:val="0"/>
                <w:sz w:val="18"/>
                <w:szCs w:val="18"/>
                <w:lang w:bidi="ar"/>
              </w:rPr>
              <w:t>评价得分</w:t>
            </w:r>
          </w:p>
        </w:tc>
        <w:tc>
          <w:tcPr>
            <w:tcW w:w="561" w:type="dxa"/>
            <w:tcBorders>
              <w:top w:val="single" w:color="000000" w:sz="4" w:space="0"/>
              <w:left w:val="single" w:color="000000" w:sz="4" w:space="0"/>
              <w:bottom w:val="single" w:color="000000" w:sz="4" w:space="0"/>
              <w:right w:val="single" w:color="000000" w:sz="4" w:space="0"/>
            </w:tcBorders>
            <w:noWrap/>
            <w:vAlign w:val="center"/>
          </w:tcPr>
          <w:p>
            <w:pPr>
              <w:rPr>
                <w:rFonts w:hint="default" w:ascii="微软雅黑" w:eastAsia="微软雅黑" w:cs="微软雅黑"/>
                <w:b/>
                <w:bCs/>
                <w:color w:val="000000"/>
                <w:sz w:val="18"/>
                <w:szCs w:val="18"/>
                <w:lang w:val="en-US" w:eastAsia="zh-CN" w:bidi="ar-SA"/>
              </w:rPr>
            </w:pPr>
            <w:r>
              <w:rPr>
                <w:rFonts w:hint="eastAsia" w:ascii="微软雅黑" w:eastAsia="微软雅黑" w:cs="微软雅黑"/>
                <w:b/>
                <w:bCs/>
                <w:color w:val="000000"/>
                <w:sz w:val="18"/>
                <w:szCs w:val="18"/>
                <w:lang w:val="en-US" w:eastAsia="zh-CN" w:bidi="ar-SA"/>
              </w:rPr>
              <w:t>98</w:t>
            </w:r>
          </w:p>
        </w:tc>
      </w:tr>
      <w:tr>
        <w:tblPrEx>
          <w:tblCellMar>
            <w:top w:w="0" w:type="dxa"/>
            <w:left w:w="108" w:type="dxa"/>
            <w:bottom w:w="0" w:type="dxa"/>
            <w:right w:w="108" w:type="dxa"/>
          </w:tblCellMar>
        </w:tblPrEx>
        <w:trPr>
          <w:trHeight w:val="680" w:hRule="atLeast"/>
        </w:trPr>
        <w:tc>
          <w:tcPr>
            <w:tcW w:w="72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基础工作管理（15分）</w:t>
            </w: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组织机构完善</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岗位设置合理</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2</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成立各种相应的组织机构及机构合理性</w:t>
            </w:r>
          </w:p>
        </w:tc>
        <w:tc>
          <w:tcPr>
            <w:tcW w:w="309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成立相应组织机构、内控岗位设置合理得2分，组织机构不健全、内控岗位设置不合理相应扣分</w:t>
            </w:r>
          </w:p>
        </w:tc>
        <w:tc>
          <w:tcPr>
            <w:tcW w:w="56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rPr>
                <w:rFonts w:hint="eastAsia" w:ascii="Times New Roman Regular" w:hAnsi="Times New Roman Regular" w:eastAsia="微软雅黑" w:cs="Times New Roman Regular"/>
                <w:color w:val="000000"/>
                <w:sz w:val="18"/>
                <w:szCs w:val="18"/>
                <w:lang w:val="en-US" w:eastAsia="zh-CN" w:bidi="ar-SA"/>
              </w:rPr>
            </w:pPr>
            <w:r>
              <w:rPr>
                <w:rFonts w:hint="eastAsia" w:ascii="Times New Roman Regular" w:hAnsi="Times New Roman Regular" w:eastAsia="微软雅黑" w:cs="Times New Roman Regular"/>
                <w:color w:val="000000"/>
                <w:sz w:val="18"/>
                <w:szCs w:val="18"/>
                <w:lang w:val="en-US" w:eastAsia="zh-CN" w:bidi="ar-SA"/>
              </w:rPr>
              <w:t>2</w:t>
            </w:r>
          </w:p>
        </w:tc>
      </w:tr>
      <w:tr>
        <w:tblPrEx>
          <w:tblCellMar>
            <w:top w:w="0" w:type="dxa"/>
            <w:left w:w="108" w:type="dxa"/>
            <w:bottom w:w="0" w:type="dxa"/>
            <w:right w:w="108" w:type="dxa"/>
          </w:tblCellMar>
        </w:tblPrEx>
        <w:trPr>
          <w:trHeight w:val="670" w:hRule="atLeast"/>
        </w:trPr>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10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管理制度完善</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内控制度建立</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2</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包括制定财政资金管理办法、内控制度，会计核算制度等管理制度</w:t>
            </w:r>
          </w:p>
        </w:tc>
        <w:tc>
          <w:tcPr>
            <w:tcW w:w="309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管理制度完善2分，制度不够完善相应扣分</w:t>
            </w:r>
          </w:p>
        </w:tc>
        <w:tc>
          <w:tcPr>
            <w:tcW w:w="56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rPr>
                <w:rFonts w:hint="eastAsia" w:ascii="Times New Roman Regular" w:hAnsi="Times New Roman Regular" w:eastAsia="微软雅黑" w:cs="Times New Roman Regular"/>
                <w:color w:val="000000"/>
                <w:sz w:val="18"/>
                <w:szCs w:val="18"/>
                <w:lang w:val="en-US" w:eastAsia="zh-CN" w:bidi="ar-SA"/>
              </w:rPr>
            </w:pPr>
            <w:r>
              <w:rPr>
                <w:rFonts w:hint="eastAsia" w:ascii="Times New Roman Regular" w:hAnsi="Times New Roman Regular" w:eastAsia="微软雅黑" w:cs="Times New Roman Regular"/>
                <w:color w:val="000000"/>
                <w:sz w:val="18"/>
                <w:szCs w:val="18"/>
                <w:lang w:val="en-US" w:eastAsia="zh-CN" w:bidi="ar-SA"/>
              </w:rPr>
              <w:t>2</w:t>
            </w:r>
          </w:p>
        </w:tc>
      </w:tr>
      <w:tr>
        <w:tblPrEx>
          <w:tblCellMar>
            <w:top w:w="0" w:type="dxa"/>
            <w:left w:w="108" w:type="dxa"/>
            <w:bottom w:w="0" w:type="dxa"/>
            <w:right w:w="108" w:type="dxa"/>
          </w:tblCellMar>
        </w:tblPrEx>
        <w:trPr>
          <w:trHeight w:val="580" w:hRule="atLeast"/>
        </w:trPr>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1060"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内控制度合规性</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2</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部门制定的管理制度合法、合规、完整</w:t>
            </w:r>
          </w:p>
        </w:tc>
        <w:tc>
          <w:tcPr>
            <w:tcW w:w="309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制度合法、合规、完整2分，反之相应扣分</w:t>
            </w:r>
          </w:p>
        </w:tc>
        <w:tc>
          <w:tcPr>
            <w:tcW w:w="56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rPr>
                <w:rFonts w:hint="eastAsia" w:ascii="Times New Roman Regular" w:hAnsi="Times New Roman Regular" w:eastAsia="微软雅黑" w:cs="Times New Roman Regular"/>
                <w:color w:val="000000"/>
                <w:sz w:val="18"/>
                <w:szCs w:val="18"/>
                <w:lang w:val="en-US" w:eastAsia="zh-CN" w:bidi="ar-SA"/>
              </w:rPr>
            </w:pPr>
            <w:r>
              <w:rPr>
                <w:rFonts w:hint="eastAsia" w:ascii="Times New Roman Regular" w:hAnsi="Times New Roman Regular" w:eastAsia="微软雅黑" w:cs="Times New Roman Regular"/>
                <w:color w:val="000000"/>
                <w:sz w:val="18"/>
                <w:szCs w:val="18"/>
                <w:lang w:val="en-US" w:eastAsia="zh-CN" w:bidi="ar-SA"/>
              </w:rPr>
              <w:t>2</w:t>
            </w:r>
          </w:p>
        </w:tc>
      </w:tr>
      <w:tr>
        <w:tblPrEx>
          <w:tblCellMar>
            <w:top w:w="0" w:type="dxa"/>
            <w:left w:w="108" w:type="dxa"/>
            <w:bottom w:w="0" w:type="dxa"/>
            <w:right w:w="108" w:type="dxa"/>
          </w:tblCellMar>
        </w:tblPrEx>
        <w:trPr>
          <w:trHeight w:val="560" w:hRule="atLeast"/>
        </w:trPr>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1060"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内控制度执行</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2</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部门制定的内控制度得到有效执行</w:t>
            </w:r>
          </w:p>
        </w:tc>
        <w:tc>
          <w:tcPr>
            <w:tcW w:w="309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有效执行2分，未能有效执行相应扣分</w:t>
            </w:r>
          </w:p>
        </w:tc>
        <w:tc>
          <w:tcPr>
            <w:tcW w:w="56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rPr>
                <w:rFonts w:hint="eastAsia" w:ascii="Times New Roman Regular" w:hAnsi="Times New Roman Regular" w:eastAsia="微软雅黑" w:cs="Times New Roman Regular"/>
                <w:color w:val="000000"/>
                <w:sz w:val="18"/>
                <w:szCs w:val="18"/>
                <w:lang w:val="en-US" w:eastAsia="zh-CN" w:bidi="ar-SA"/>
              </w:rPr>
            </w:pPr>
            <w:r>
              <w:rPr>
                <w:rFonts w:hint="eastAsia" w:ascii="Times New Roman Regular" w:hAnsi="Times New Roman Regular" w:eastAsia="微软雅黑" w:cs="Times New Roman Regular"/>
                <w:color w:val="000000"/>
                <w:sz w:val="18"/>
                <w:szCs w:val="18"/>
                <w:lang w:val="en-US" w:eastAsia="zh-CN" w:bidi="ar-SA"/>
              </w:rPr>
              <w:t>2</w:t>
            </w:r>
          </w:p>
        </w:tc>
      </w:tr>
      <w:tr>
        <w:tblPrEx>
          <w:tblCellMar>
            <w:top w:w="0" w:type="dxa"/>
            <w:left w:w="108" w:type="dxa"/>
            <w:bottom w:w="0" w:type="dxa"/>
            <w:right w:w="108" w:type="dxa"/>
          </w:tblCellMar>
        </w:tblPrEx>
        <w:trPr>
          <w:trHeight w:val="560" w:hRule="atLeast"/>
        </w:trPr>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指标体系完善</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指标体系完善程度</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2</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部门制定的项目预算支出评价个性指标体系健全</w:t>
            </w:r>
          </w:p>
        </w:tc>
        <w:tc>
          <w:tcPr>
            <w:tcW w:w="309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个性指标体系健全2分，指标体系不够健全相应扣分</w:t>
            </w:r>
          </w:p>
        </w:tc>
        <w:tc>
          <w:tcPr>
            <w:tcW w:w="56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rPr>
                <w:rFonts w:hint="eastAsia" w:ascii="Times New Roman Regular" w:hAnsi="Times New Roman Regular" w:eastAsia="微软雅黑" w:cs="Times New Roman Regular"/>
                <w:color w:val="000000"/>
                <w:sz w:val="18"/>
                <w:szCs w:val="18"/>
                <w:lang w:val="en-US" w:eastAsia="zh-CN" w:bidi="ar-SA"/>
              </w:rPr>
            </w:pPr>
            <w:r>
              <w:rPr>
                <w:rFonts w:hint="eastAsia" w:ascii="Times New Roman Regular" w:hAnsi="Times New Roman Regular" w:eastAsia="微软雅黑" w:cs="Times New Roman Regular"/>
                <w:color w:val="000000"/>
                <w:sz w:val="18"/>
                <w:szCs w:val="18"/>
                <w:lang w:val="en-US" w:eastAsia="zh-CN" w:bidi="ar-SA"/>
              </w:rPr>
              <w:t>2</w:t>
            </w:r>
          </w:p>
        </w:tc>
      </w:tr>
      <w:tr>
        <w:tblPrEx>
          <w:tblCellMar>
            <w:top w:w="0" w:type="dxa"/>
            <w:left w:w="108" w:type="dxa"/>
            <w:bottom w:w="0" w:type="dxa"/>
            <w:right w:w="108" w:type="dxa"/>
          </w:tblCellMar>
        </w:tblPrEx>
        <w:trPr>
          <w:trHeight w:val="490" w:hRule="atLeast"/>
        </w:trPr>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宣传培训</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宣传培训</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1</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部门对绩效评价工作开展的宣传培训</w:t>
            </w:r>
          </w:p>
        </w:tc>
        <w:tc>
          <w:tcPr>
            <w:tcW w:w="309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开展了宣传培训1分，未能开展宣传培训相应扣分</w:t>
            </w:r>
          </w:p>
        </w:tc>
        <w:tc>
          <w:tcPr>
            <w:tcW w:w="56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rPr>
                <w:rFonts w:hint="eastAsia" w:ascii="Times New Roman Regular" w:hAnsi="Times New Roman Regular" w:eastAsia="微软雅黑" w:cs="Times New Roman Regular"/>
                <w:color w:val="000000"/>
                <w:sz w:val="18"/>
                <w:szCs w:val="18"/>
                <w:lang w:val="en-US" w:eastAsia="zh-CN" w:bidi="ar-SA"/>
              </w:rPr>
            </w:pPr>
            <w:r>
              <w:rPr>
                <w:rFonts w:hint="eastAsia" w:ascii="Times New Roman Regular" w:hAnsi="Times New Roman Regular" w:eastAsia="微软雅黑" w:cs="Times New Roman Regular"/>
                <w:color w:val="000000"/>
                <w:sz w:val="18"/>
                <w:szCs w:val="18"/>
                <w:lang w:val="en-US" w:eastAsia="zh-CN" w:bidi="ar-SA"/>
              </w:rPr>
              <w:t>1</w:t>
            </w:r>
          </w:p>
        </w:tc>
      </w:tr>
      <w:tr>
        <w:tblPrEx>
          <w:tblCellMar>
            <w:top w:w="0" w:type="dxa"/>
            <w:left w:w="108" w:type="dxa"/>
            <w:bottom w:w="0" w:type="dxa"/>
            <w:right w:w="108" w:type="dxa"/>
          </w:tblCellMar>
        </w:tblPrEx>
        <w:trPr>
          <w:trHeight w:val="520" w:hRule="atLeast"/>
        </w:trPr>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1060" w:type="dxa"/>
            <w:vMerge w:val="restart"/>
            <w:tcBorders>
              <w:top w:val="single" w:color="000000" w:sz="4" w:space="0"/>
              <w:left w:val="single" w:color="000000" w:sz="4" w:space="0"/>
              <w:bottom w:val="nil"/>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会计核算</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会计核算及时性</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1</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会计核算及时</w:t>
            </w:r>
          </w:p>
        </w:tc>
        <w:tc>
          <w:tcPr>
            <w:tcW w:w="309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会计核算及时，日清月结的得1分，核算不及时的相应扣分</w:t>
            </w:r>
          </w:p>
        </w:tc>
        <w:tc>
          <w:tcPr>
            <w:tcW w:w="56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rPr>
                <w:rFonts w:hint="eastAsia" w:ascii="Times New Roman Regular" w:hAnsi="Times New Roman Regular" w:eastAsia="微软雅黑" w:cs="Times New Roman Regular"/>
                <w:color w:val="000000"/>
                <w:sz w:val="18"/>
                <w:szCs w:val="18"/>
                <w:lang w:val="en-US" w:eastAsia="zh-CN" w:bidi="ar-SA"/>
              </w:rPr>
            </w:pPr>
            <w:r>
              <w:rPr>
                <w:rFonts w:hint="eastAsia" w:ascii="Times New Roman Regular" w:hAnsi="Times New Roman Regular" w:eastAsia="微软雅黑" w:cs="Times New Roman Regular"/>
                <w:color w:val="000000"/>
                <w:sz w:val="18"/>
                <w:szCs w:val="18"/>
                <w:lang w:val="en-US" w:eastAsia="zh-CN" w:bidi="ar-SA"/>
              </w:rPr>
              <w:t>1</w:t>
            </w:r>
          </w:p>
        </w:tc>
      </w:tr>
      <w:tr>
        <w:tblPrEx>
          <w:tblCellMar>
            <w:top w:w="0" w:type="dxa"/>
            <w:left w:w="108" w:type="dxa"/>
            <w:bottom w:w="0" w:type="dxa"/>
            <w:right w:w="108" w:type="dxa"/>
          </w:tblCellMar>
        </w:tblPrEx>
        <w:trPr>
          <w:trHeight w:val="740" w:hRule="atLeast"/>
        </w:trPr>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1060" w:type="dxa"/>
            <w:vMerge w:val="continue"/>
            <w:tcBorders>
              <w:top w:val="single" w:color="000000" w:sz="4" w:space="0"/>
              <w:left w:val="single" w:color="000000" w:sz="4" w:space="0"/>
              <w:bottom w:val="nil"/>
              <w:right w:val="single" w:color="000000" w:sz="4" w:space="0"/>
            </w:tcBorders>
            <w:noWrap w:val="0"/>
            <w:vAlign w:val="center"/>
          </w:tcP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会计核算规范性</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2</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会计核算规范</w:t>
            </w:r>
          </w:p>
        </w:tc>
        <w:tc>
          <w:tcPr>
            <w:tcW w:w="309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会计核算规范、科目使用准确、原始发票及附件充分、分项目核算的得2分，否则相应扣分</w:t>
            </w:r>
          </w:p>
        </w:tc>
        <w:tc>
          <w:tcPr>
            <w:tcW w:w="56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rPr>
                <w:rFonts w:hint="eastAsia" w:ascii="Times New Roman Regular" w:hAnsi="Times New Roman Regular" w:eastAsia="微软雅黑" w:cs="Times New Roman Regular"/>
                <w:color w:val="000000"/>
                <w:sz w:val="18"/>
                <w:szCs w:val="18"/>
                <w:lang w:val="en-US" w:eastAsia="zh-CN" w:bidi="ar-SA"/>
              </w:rPr>
            </w:pPr>
            <w:r>
              <w:rPr>
                <w:rFonts w:hint="eastAsia" w:ascii="Times New Roman Regular" w:hAnsi="Times New Roman Regular" w:eastAsia="微软雅黑" w:cs="Times New Roman Regular"/>
                <w:color w:val="000000"/>
                <w:sz w:val="18"/>
                <w:szCs w:val="18"/>
                <w:lang w:val="en-US" w:eastAsia="zh-CN" w:bidi="ar-SA"/>
              </w:rPr>
              <w:t>2</w:t>
            </w:r>
          </w:p>
        </w:tc>
      </w:tr>
      <w:tr>
        <w:tblPrEx>
          <w:tblCellMar>
            <w:top w:w="0" w:type="dxa"/>
            <w:left w:w="108" w:type="dxa"/>
            <w:bottom w:w="0" w:type="dxa"/>
            <w:right w:w="108" w:type="dxa"/>
          </w:tblCellMar>
        </w:tblPrEx>
        <w:trPr>
          <w:trHeight w:val="460" w:hRule="atLeast"/>
        </w:trPr>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1060" w:type="dxa"/>
            <w:vMerge w:val="continue"/>
            <w:tcBorders>
              <w:top w:val="single" w:color="000000" w:sz="4" w:space="0"/>
              <w:left w:val="single" w:color="000000" w:sz="4" w:space="0"/>
              <w:bottom w:val="nil"/>
              <w:right w:val="single" w:color="000000" w:sz="4" w:space="0"/>
            </w:tcBorders>
            <w:noWrap w:val="0"/>
            <w:vAlign w:val="center"/>
          </w:tcP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会计档案管理</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1</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会计档案规范</w:t>
            </w:r>
          </w:p>
        </w:tc>
        <w:tc>
          <w:tcPr>
            <w:tcW w:w="309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会计档案整理规范的得1分，不规范的相应扣分</w:t>
            </w:r>
          </w:p>
        </w:tc>
        <w:tc>
          <w:tcPr>
            <w:tcW w:w="56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rPr>
                <w:rFonts w:hint="eastAsia" w:ascii="Times New Roman Regular" w:hAnsi="Times New Roman Regular" w:eastAsia="微软雅黑" w:cs="Times New Roman Regular"/>
                <w:color w:val="000000"/>
                <w:sz w:val="18"/>
                <w:szCs w:val="18"/>
                <w:lang w:val="en-US" w:eastAsia="zh-CN" w:bidi="ar-SA"/>
              </w:rPr>
            </w:pPr>
            <w:r>
              <w:rPr>
                <w:rFonts w:hint="eastAsia" w:ascii="Times New Roman Regular" w:hAnsi="Times New Roman Regular" w:eastAsia="微软雅黑" w:cs="Times New Roman Regular"/>
                <w:color w:val="000000"/>
                <w:sz w:val="18"/>
                <w:szCs w:val="18"/>
                <w:lang w:val="en-US" w:eastAsia="zh-CN" w:bidi="ar-SA"/>
              </w:rPr>
              <w:t>1</w:t>
            </w:r>
          </w:p>
        </w:tc>
      </w:tr>
      <w:tr>
        <w:tblPrEx>
          <w:tblCellMar>
            <w:top w:w="0" w:type="dxa"/>
            <w:left w:w="108" w:type="dxa"/>
            <w:bottom w:w="0" w:type="dxa"/>
            <w:right w:w="108" w:type="dxa"/>
          </w:tblCellMar>
        </w:tblPrEx>
        <w:trPr>
          <w:trHeight w:val="710" w:hRule="atLeast"/>
        </w:trPr>
        <w:tc>
          <w:tcPr>
            <w:tcW w:w="72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绩效目标管理（10分）</w:t>
            </w:r>
          </w:p>
        </w:tc>
        <w:tc>
          <w:tcPr>
            <w:tcW w:w="10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绩效目标合理性　</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合规性</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1</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绩效目标管理符合国家法律法规、国民经济和社会发展总体规划</w:t>
            </w:r>
          </w:p>
        </w:tc>
        <w:tc>
          <w:tcPr>
            <w:tcW w:w="309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绩效目标符合相关法规和总体规划1分，绩效目标不够合理的相应扣分</w:t>
            </w:r>
          </w:p>
        </w:tc>
        <w:tc>
          <w:tcPr>
            <w:tcW w:w="56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rPr>
                <w:rFonts w:hint="eastAsia" w:ascii="Times New Roman Regular" w:hAnsi="Times New Roman Regular" w:eastAsia="微软雅黑" w:cs="Times New Roman Regular"/>
                <w:color w:val="000000"/>
                <w:sz w:val="18"/>
                <w:szCs w:val="18"/>
                <w:lang w:val="en-US" w:eastAsia="zh-CN" w:bidi="ar-SA"/>
              </w:rPr>
            </w:pPr>
            <w:r>
              <w:rPr>
                <w:rFonts w:hint="eastAsia" w:ascii="Times New Roman Regular" w:hAnsi="Times New Roman Regular" w:eastAsia="微软雅黑" w:cs="Times New Roman Regular"/>
                <w:color w:val="000000"/>
                <w:sz w:val="18"/>
                <w:szCs w:val="18"/>
                <w:lang w:val="en-US" w:eastAsia="zh-CN" w:bidi="ar-SA"/>
              </w:rPr>
              <w:t>1</w:t>
            </w:r>
          </w:p>
        </w:tc>
      </w:tr>
      <w:tr>
        <w:tblPrEx>
          <w:tblCellMar>
            <w:top w:w="0" w:type="dxa"/>
            <w:left w:w="108" w:type="dxa"/>
            <w:bottom w:w="0" w:type="dxa"/>
            <w:right w:w="108" w:type="dxa"/>
          </w:tblCellMar>
        </w:tblPrEx>
        <w:trPr>
          <w:trHeight w:val="560" w:hRule="atLeast"/>
        </w:trPr>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1060"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与工作衔接度</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1</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绩效目标符合部门“三定”方案确定的职责</w:t>
            </w:r>
          </w:p>
        </w:tc>
        <w:tc>
          <w:tcPr>
            <w:tcW w:w="309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绩效目标符合部分“三定”方案1分，不符合相应扣分</w:t>
            </w:r>
          </w:p>
        </w:tc>
        <w:tc>
          <w:tcPr>
            <w:tcW w:w="56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rPr>
                <w:rFonts w:hint="eastAsia" w:ascii="Times New Roman Regular" w:hAnsi="Times New Roman Regular" w:eastAsia="微软雅黑" w:cs="Times New Roman Regular"/>
                <w:color w:val="000000"/>
                <w:sz w:val="18"/>
                <w:szCs w:val="18"/>
                <w:lang w:val="en-US" w:eastAsia="zh-CN" w:bidi="ar-SA"/>
              </w:rPr>
            </w:pPr>
            <w:r>
              <w:rPr>
                <w:rFonts w:hint="eastAsia" w:ascii="Times New Roman Regular" w:hAnsi="Times New Roman Regular" w:eastAsia="微软雅黑" w:cs="Times New Roman Regular"/>
                <w:color w:val="000000"/>
                <w:sz w:val="18"/>
                <w:szCs w:val="18"/>
                <w:lang w:val="en-US" w:eastAsia="zh-CN" w:bidi="ar-SA"/>
              </w:rPr>
              <w:t>1</w:t>
            </w:r>
          </w:p>
        </w:tc>
      </w:tr>
      <w:tr>
        <w:tblPrEx>
          <w:tblCellMar>
            <w:top w:w="0" w:type="dxa"/>
            <w:left w:w="108" w:type="dxa"/>
            <w:bottom w:w="0" w:type="dxa"/>
            <w:right w:w="108" w:type="dxa"/>
          </w:tblCellMar>
        </w:tblPrEx>
        <w:trPr>
          <w:trHeight w:val="710" w:hRule="atLeast"/>
        </w:trPr>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1060"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与中长期规划衔接度</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1</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绩效目标符合部门制定的中长期规划</w:t>
            </w:r>
          </w:p>
        </w:tc>
        <w:tc>
          <w:tcPr>
            <w:tcW w:w="309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绩效目标符合部门制定的中长期规划1分，不符合相应扣分</w:t>
            </w:r>
          </w:p>
        </w:tc>
        <w:tc>
          <w:tcPr>
            <w:tcW w:w="56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rPr>
                <w:rFonts w:hint="eastAsia" w:ascii="Times New Roman Regular" w:hAnsi="Times New Roman Regular" w:eastAsia="微软雅黑" w:cs="Times New Roman Regular"/>
                <w:color w:val="000000"/>
                <w:sz w:val="18"/>
                <w:szCs w:val="18"/>
                <w:lang w:val="en-US" w:eastAsia="zh-CN" w:bidi="ar-SA"/>
              </w:rPr>
            </w:pPr>
            <w:r>
              <w:rPr>
                <w:rFonts w:hint="eastAsia" w:ascii="Times New Roman Regular" w:hAnsi="Times New Roman Regular" w:eastAsia="微软雅黑" w:cs="Times New Roman Regular"/>
                <w:color w:val="000000"/>
                <w:sz w:val="18"/>
                <w:szCs w:val="18"/>
                <w:lang w:val="en-US" w:eastAsia="zh-CN" w:bidi="ar-SA"/>
              </w:rPr>
              <w:t>1</w:t>
            </w:r>
          </w:p>
        </w:tc>
      </w:tr>
      <w:tr>
        <w:tblPrEx>
          <w:tblCellMar>
            <w:top w:w="0" w:type="dxa"/>
            <w:left w:w="108" w:type="dxa"/>
            <w:bottom w:w="0" w:type="dxa"/>
            <w:right w:w="108" w:type="dxa"/>
          </w:tblCellMar>
        </w:tblPrEx>
        <w:trPr>
          <w:trHeight w:val="730" w:hRule="atLeast"/>
        </w:trPr>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绩效目标覆盖率　</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绩效目标覆盖率</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4</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部门绩效目标覆盖率达到年度预算布置的要求</w:t>
            </w:r>
          </w:p>
        </w:tc>
        <w:tc>
          <w:tcPr>
            <w:tcW w:w="309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绩效目标覆盖率＝实际申报绩效目标项目资金额/部门项目预算资金总额×100%。每低于10个百分点扣1分，扣完为止</w:t>
            </w:r>
          </w:p>
        </w:tc>
        <w:tc>
          <w:tcPr>
            <w:tcW w:w="56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rPr>
                <w:rFonts w:hint="default" w:ascii="Times New Roman Regular" w:hAnsi="Times New Roman Regular" w:eastAsia="微软雅黑" w:cs="Times New Roman Regular"/>
                <w:color w:val="000000"/>
                <w:sz w:val="18"/>
                <w:szCs w:val="18"/>
                <w:lang w:val="en-US" w:eastAsia="zh-CN" w:bidi="ar-SA"/>
              </w:rPr>
            </w:pPr>
            <w:r>
              <w:rPr>
                <w:rFonts w:hint="eastAsia" w:ascii="Times New Roman Regular" w:hAnsi="Times New Roman Regular" w:eastAsia="微软雅黑" w:cs="Times New Roman Regular"/>
                <w:color w:val="000000"/>
                <w:sz w:val="18"/>
                <w:szCs w:val="18"/>
                <w:lang w:val="en-US" w:eastAsia="zh-CN" w:bidi="ar-SA"/>
              </w:rPr>
              <w:t>4</w:t>
            </w:r>
          </w:p>
        </w:tc>
      </w:tr>
      <w:tr>
        <w:tblPrEx>
          <w:tblCellMar>
            <w:top w:w="0" w:type="dxa"/>
            <w:left w:w="108" w:type="dxa"/>
            <w:bottom w:w="0" w:type="dxa"/>
            <w:right w:w="108" w:type="dxa"/>
          </w:tblCellMar>
        </w:tblPrEx>
        <w:trPr>
          <w:trHeight w:val="560" w:hRule="atLeast"/>
        </w:trPr>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10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绩效指标明确性　</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绩效指标完整性</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1</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绩效目标申报表的填写完整</w:t>
            </w:r>
          </w:p>
        </w:tc>
        <w:tc>
          <w:tcPr>
            <w:tcW w:w="309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申报表填写完整1分，不完整相应扣分</w:t>
            </w:r>
          </w:p>
        </w:tc>
        <w:tc>
          <w:tcPr>
            <w:tcW w:w="56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rPr>
                <w:rFonts w:hint="eastAsia" w:ascii="Times New Roman Regular" w:hAnsi="Times New Roman Regular" w:eastAsia="微软雅黑" w:cs="Times New Roman Regular"/>
                <w:color w:val="000000"/>
                <w:sz w:val="18"/>
                <w:szCs w:val="18"/>
                <w:lang w:val="en-US" w:eastAsia="zh-CN" w:bidi="ar-SA"/>
              </w:rPr>
            </w:pPr>
            <w:r>
              <w:rPr>
                <w:rFonts w:hint="eastAsia" w:ascii="Times New Roman Regular" w:hAnsi="Times New Roman Regular" w:eastAsia="微软雅黑" w:cs="Times New Roman Regular"/>
                <w:color w:val="000000"/>
                <w:sz w:val="18"/>
                <w:szCs w:val="18"/>
                <w:lang w:val="en-US" w:eastAsia="zh-CN" w:bidi="ar-SA"/>
              </w:rPr>
              <w:t>1</w:t>
            </w:r>
          </w:p>
        </w:tc>
      </w:tr>
      <w:tr>
        <w:tblPrEx>
          <w:tblCellMar>
            <w:top w:w="0" w:type="dxa"/>
            <w:left w:w="108" w:type="dxa"/>
            <w:bottom w:w="0" w:type="dxa"/>
            <w:right w:w="108" w:type="dxa"/>
          </w:tblCellMar>
        </w:tblPrEx>
        <w:trPr>
          <w:trHeight w:val="487" w:hRule="atLeast"/>
        </w:trPr>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1060"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绩效指标操作性</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1</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绩效指标设置清晰、可衡量</w:t>
            </w:r>
          </w:p>
        </w:tc>
        <w:tc>
          <w:tcPr>
            <w:tcW w:w="309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绩效指标设置清晰、可衡量1分，反之相应扣分</w:t>
            </w:r>
          </w:p>
        </w:tc>
        <w:tc>
          <w:tcPr>
            <w:tcW w:w="56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rPr>
                <w:rFonts w:hint="eastAsia" w:ascii="Times New Roman Regular" w:hAnsi="Times New Roman Regular" w:eastAsia="微软雅黑" w:cs="Times New Roman Regular"/>
                <w:color w:val="000000"/>
                <w:sz w:val="18"/>
                <w:szCs w:val="18"/>
                <w:lang w:val="en-US" w:eastAsia="zh-CN" w:bidi="ar-SA"/>
              </w:rPr>
            </w:pPr>
            <w:r>
              <w:rPr>
                <w:rFonts w:hint="eastAsia" w:ascii="Times New Roman Regular" w:hAnsi="Times New Roman Regular" w:eastAsia="微软雅黑" w:cs="Times New Roman Regular"/>
                <w:color w:val="000000"/>
                <w:sz w:val="18"/>
                <w:szCs w:val="18"/>
                <w:lang w:val="en-US" w:eastAsia="zh-CN" w:bidi="ar-SA"/>
              </w:rPr>
              <w:t>1</w:t>
            </w:r>
          </w:p>
        </w:tc>
      </w:tr>
      <w:tr>
        <w:tblPrEx>
          <w:tblCellMar>
            <w:top w:w="0" w:type="dxa"/>
            <w:left w:w="108" w:type="dxa"/>
            <w:bottom w:w="0" w:type="dxa"/>
            <w:right w:w="108" w:type="dxa"/>
          </w:tblCellMar>
        </w:tblPrEx>
        <w:trPr>
          <w:trHeight w:val="560" w:hRule="atLeast"/>
        </w:trPr>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1060"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与预算资金匹配度</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1</w:t>
            </w:r>
          </w:p>
        </w:tc>
        <w:tc>
          <w:tcPr>
            <w:tcW w:w="20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 xml:space="preserve">绩效指标与本年度部门预算资金相匹配 </w:t>
            </w:r>
          </w:p>
        </w:tc>
        <w:tc>
          <w:tcPr>
            <w:tcW w:w="309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绩效指标与资金相匹配1分，不完全匹配相应扣分</w:t>
            </w:r>
          </w:p>
        </w:tc>
        <w:tc>
          <w:tcPr>
            <w:tcW w:w="56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rPr>
                <w:rFonts w:hint="eastAsia" w:ascii="Times New Roman Regular" w:hAnsi="Times New Roman Regular" w:eastAsia="微软雅黑" w:cs="Times New Roman Regular"/>
                <w:color w:val="000000"/>
                <w:sz w:val="18"/>
                <w:szCs w:val="18"/>
                <w:lang w:val="en-US" w:eastAsia="zh-CN" w:bidi="ar-SA"/>
              </w:rPr>
            </w:pPr>
            <w:r>
              <w:rPr>
                <w:rFonts w:hint="eastAsia" w:ascii="Times New Roman Regular" w:hAnsi="Times New Roman Regular" w:eastAsia="微软雅黑" w:cs="Times New Roman Regular"/>
                <w:color w:val="000000"/>
                <w:sz w:val="18"/>
                <w:szCs w:val="18"/>
                <w:lang w:val="en-US" w:eastAsia="zh-CN" w:bidi="ar-SA"/>
              </w:rPr>
              <w:t>1</w:t>
            </w:r>
          </w:p>
        </w:tc>
      </w:tr>
      <w:tr>
        <w:tblPrEx>
          <w:tblCellMar>
            <w:top w:w="0" w:type="dxa"/>
            <w:left w:w="108" w:type="dxa"/>
            <w:bottom w:w="0" w:type="dxa"/>
            <w:right w:w="108" w:type="dxa"/>
          </w:tblCellMar>
        </w:tblPrEx>
        <w:trPr>
          <w:trHeight w:val="1200" w:hRule="atLeast"/>
        </w:trPr>
        <w:tc>
          <w:tcPr>
            <w:tcW w:w="72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绩效运行监控（15分）</w:t>
            </w: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预算完成率</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部门预算支出完成率</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2</w:t>
            </w:r>
          </w:p>
        </w:tc>
        <w:tc>
          <w:tcPr>
            <w:tcW w:w="22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部门预算支出完成程度</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预算完成率＝[年度支出完成数/年度支出预算数（含调整预算及结转结余）]×100%。跨年度项目按工程进度或平均年度额分析计算。预算完成率90%及以上的得2分。每低于要求5个百分点扣1分，扣完为止</w:t>
            </w:r>
          </w:p>
        </w:tc>
        <w:tc>
          <w:tcPr>
            <w:tcW w:w="56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rPr>
                <w:rFonts w:hint="eastAsia" w:ascii="Times New Roman Regular" w:hAnsi="Times New Roman Regular" w:eastAsia="微软雅黑" w:cs="Times New Roman Regular"/>
                <w:color w:val="000000"/>
                <w:sz w:val="18"/>
                <w:szCs w:val="18"/>
                <w:lang w:val="en-US" w:eastAsia="zh-CN" w:bidi="ar-SA"/>
              </w:rPr>
            </w:pPr>
            <w:r>
              <w:rPr>
                <w:rFonts w:hint="eastAsia" w:ascii="Times New Roman Regular" w:hAnsi="Times New Roman Regular" w:eastAsia="微软雅黑" w:cs="Times New Roman Regular"/>
                <w:color w:val="000000"/>
                <w:sz w:val="18"/>
                <w:szCs w:val="18"/>
                <w:lang w:val="en-US" w:eastAsia="zh-CN" w:bidi="ar-SA"/>
              </w:rPr>
              <w:t>1</w:t>
            </w:r>
          </w:p>
        </w:tc>
      </w:tr>
      <w:tr>
        <w:tblPrEx>
          <w:tblCellMar>
            <w:top w:w="0" w:type="dxa"/>
            <w:left w:w="108" w:type="dxa"/>
            <w:bottom w:w="0" w:type="dxa"/>
            <w:right w:w="108" w:type="dxa"/>
          </w:tblCellMar>
        </w:tblPrEx>
        <w:trPr>
          <w:trHeight w:val="1140" w:hRule="atLeast"/>
        </w:trPr>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项目预算执行率　</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部门预算项目执行率</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2</w:t>
            </w:r>
          </w:p>
        </w:tc>
        <w:tc>
          <w:tcPr>
            <w:tcW w:w="22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部门项目预算执行调整程度</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项目预算执行率＝[年度项目实际支出数/项目预算数（含调整预算及结转结余）]×100%。跨年度项目按工程进度或平均年度额分析计算。预算执行偏差度在10%以内的得2分，每超过5个百分点扣1分，扣完为止</w:t>
            </w:r>
          </w:p>
        </w:tc>
        <w:tc>
          <w:tcPr>
            <w:tcW w:w="56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rPr>
                <w:rFonts w:hint="default" w:ascii="Times New Roman Regular" w:hAnsi="Times New Roman Regular" w:eastAsia="微软雅黑" w:cs="Times New Roman Regular"/>
                <w:color w:val="000000"/>
                <w:sz w:val="18"/>
                <w:szCs w:val="18"/>
                <w:lang w:val="en-US" w:eastAsia="zh-CN" w:bidi="ar-SA"/>
              </w:rPr>
            </w:pPr>
            <w:r>
              <w:rPr>
                <w:rFonts w:hint="eastAsia" w:ascii="Times New Roman Regular" w:hAnsi="Times New Roman Regular" w:eastAsia="微软雅黑" w:cs="Times New Roman Regular"/>
                <w:color w:val="000000"/>
                <w:sz w:val="18"/>
                <w:szCs w:val="18"/>
                <w:lang w:val="en-US" w:eastAsia="zh-CN" w:bidi="ar-SA"/>
              </w:rPr>
              <w:t>1</w:t>
            </w:r>
          </w:p>
        </w:tc>
      </w:tr>
      <w:tr>
        <w:tblPrEx>
          <w:tblCellMar>
            <w:top w:w="0" w:type="dxa"/>
            <w:left w:w="108" w:type="dxa"/>
            <w:bottom w:w="0" w:type="dxa"/>
            <w:right w:w="108" w:type="dxa"/>
          </w:tblCellMar>
        </w:tblPrEx>
        <w:trPr>
          <w:trHeight w:val="910" w:hRule="atLeast"/>
        </w:trPr>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10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政府采购监管</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预算执行率</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1</w:t>
            </w:r>
          </w:p>
        </w:tc>
        <w:tc>
          <w:tcPr>
            <w:tcW w:w="22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部门政府采购预算执行情况</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政府采购执行率=[实际政府采购金额/政府采购预算数（含调整预算）]×100%。政府采购预算执行偏差度在10%以内的得1分，超过的不得分</w:t>
            </w:r>
          </w:p>
        </w:tc>
        <w:tc>
          <w:tcPr>
            <w:tcW w:w="56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rPr>
                <w:rFonts w:hint="eastAsia" w:ascii="Times New Roman Regular" w:hAnsi="Times New Roman Regular" w:eastAsia="微软雅黑" w:cs="Times New Roman Regular"/>
                <w:color w:val="000000"/>
                <w:sz w:val="18"/>
                <w:szCs w:val="18"/>
                <w:lang w:val="en-US" w:eastAsia="zh-CN" w:bidi="ar-SA"/>
              </w:rPr>
            </w:pPr>
            <w:r>
              <w:rPr>
                <w:rFonts w:hint="eastAsia" w:ascii="Times New Roman Regular" w:hAnsi="Times New Roman Regular" w:eastAsia="微软雅黑" w:cs="Times New Roman Regular"/>
                <w:color w:val="000000"/>
                <w:sz w:val="18"/>
                <w:szCs w:val="18"/>
                <w:lang w:val="en-US" w:eastAsia="zh-CN" w:bidi="ar-SA"/>
              </w:rPr>
              <w:t>1</w:t>
            </w:r>
          </w:p>
        </w:tc>
      </w:tr>
      <w:tr>
        <w:tblPrEx>
          <w:tblCellMar>
            <w:top w:w="0" w:type="dxa"/>
            <w:left w:w="108" w:type="dxa"/>
            <w:bottom w:w="0" w:type="dxa"/>
            <w:right w:w="108" w:type="dxa"/>
          </w:tblCellMar>
        </w:tblPrEx>
        <w:trPr>
          <w:trHeight w:val="490" w:hRule="atLeast"/>
        </w:trPr>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1060"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财政审批</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1</w:t>
            </w:r>
          </w:p>
        </w:tc>
        <w:tc>
          <w:tcPr>
            <w:tcW w:w="22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部门政府采购财政审批情况　</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应政府采购未采购的每发生一起扣0.5分，扣完该项得分为止</w:t>
            </w:r>
          </w:p>
        </w:tc>
        <w:tc>
          <w:tcPr>
            <w:tcW w:w="56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rPr>
                <w:rFonts w:hint="eastAsia" w:ascii="Times New Roman Regular" w:hAnsi="Times New Roman Regular" w:eastAsia="微软雅黑" w:cs="Times New Roman Regular"/>
                <w:color w:val="000000"/>
                <w:sz w:val="18"/>
                <w:szCs w:val="18"/>
                <w:lang w:val="en-US" w:eastAsia="zh-CN" w:bidi="ar-SA"/>
              </w:rPr>
            </w:pPr>
            <w:r>
              <w:rPr>
                <w:rFonts w:hint="eastAsia" w:ascii="Times New Roman Regular" w:hAnsi="Times New Roman Regular" w:eastAsia="微软雅黑" w:cs="Times New Roman Regular"/>
                <w:color w:val="000000"/>
                <w:sz w:val="18"/>
                <w:szCs w:val="18"/>
                <w:lang w:val="en-US" w:eastAsia="zh-CN" w:bidi="ar-SA"/>
              </w:rPr>
              <w:t>1</w:t>
            </w:r>
          </w:p>
        </w:tc>
      </w:tr>
      <w:tr>
        <w:tblPrEx>
          <w:tblCellMar>
            <w:top w:w="0" w:type="dxa"/>
            <w:left w:w="108" w:type="dxa"/>
            <w:bottom w:w="0" w:type="dxa"/>
            <w:right w:w="108" w:type="dxa"/>
          </w:tblCellMar>
        </w:tblPrEx>
        <w:trPr>
          <w:trHeight w:val="390" w:hRule="atLeast"/>
        </w:trPr>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1060"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政府采购合规性</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1</w:t>
            </w:r>
          </w:p>
        </w:tc>
        <w:tc>
          <w:tcPr>
            <w:tcW w:w="22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部门政府采购合规性</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存在政府采购违规行为的该项不得分</w:t>
            </w:r>
          </w:p>
        </w:tc>
        <w:tc>
          <w:tcPr>
            <w:tcW w:w="56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rPr>
                <w:rFonts w:hint="eastAsia" w:ascii="Times New Roman Regular" w:hAnsi="Times New Roman Regular" w:eastAsia="微软雅黑" w:cs="Times New Roman Regular"/>
                <w:color w:val="000000"/>
                <w:sz w:val="18"/>
                <w:szCs w:val="18"/>
                <w:lang w:val="en-US" w:eastAsia="zh-CN" w:bidi="ar-SA"/>
              </w:rPr>
            </w:pPr>
            <w:r>
              <w:rPr>
                <w:rFonts w:hint="eastAsia" w:ascii="Times New Roman Regular" w:hAnsi="Times New Roman Regular" w:eastAsia="微软雅黑" w:cs="Times New Roman Regular"/>
                <w:color w:val="000000"/>
                <w:sz w:val="18"/>
                <w:szCs w:val="18"/>
                <w:lang w:val="en-US" w:eastAsia="zh-CN" w:bidi="ar-SA"/>
              </w:rPr>
              <w:t>1</w:t>
            </w:r>
          </w:p>
        </w:tc>
      </w:tr>
      <w:tr>
        <w:tblPrEx>
          <w:tblCellMar>
            <w:top w:w="0" w:type="dxa"/>
            <w:left w:w="108" w:type="dxa"/>
            <w:bottom w:w="0" w:type="dxa"/>
            <w:right w:w="108" w:type="dxa"/>
          </w:tblCellMar>
        </w:tblPrEx>
        <w:trPr>
          <w:trHeight w:val="1030" w:hRule="atLeast"/>
        </w:trPr>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 xml:space="preserve">三公经费控制率 </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三公经费控制率</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3</w:t>
            </w:r>
          </w:p>
        </w:tc>
        <w:tc>
          <w:tcPr>
            <w:tcW w:w="22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部门“三公经费”控制程度</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“三公经费”控制率＝（“三公经费”实际支出数/“三公经费”预算数）×100%。“三公经费”控制率≤100%的得3分，每高于要求2个百分点扣1分，扣完为止</w:t>
            </w:r>
          </w:p>
        </w:tc>
        <w:tc>
          <w:tcPr>
            <w:tcW w:w="56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rPr>
                <w:rFonts w:hint="eastAsia" w:ascii="Times New Roman Regular" w:hAnsi="Times New Roman Regular" w:eastAsia="微软雅黑" w:cs="Times New Roman Regular"/>
                <w:color w:val="000000"/>
                <w:sz w:val="18"/>
                <w:szCs w:val="18"/>
                <w:lang w:val="en-US" w:eastAsia="zh-CN" w:bidi="ar-SA"/>
              </w:rPr>
            </w:pPr>
            <w:r>
              <w:rPr>
                <w:rFonts w:hint="eastAsia" w:ascii="Times New Roman Regular" w:hAnsi="Times New Roman Regular" w:eastAsia="微软雅黑" w:cs="Times New Roman Regular"/>
                <w:color w:val="000000"/>
                <w:sz w:val="18"/>
                <w:szCs w:val="18"/>
                <w:lang w:val="en-US" w:eastAsia="zh-CN" w:bidi="ar-SA"/>
              </w:rPr>
              <w:t>3</w:t>
            </w:r>
          </w:p>
        </w:tc>
      </w:tr>
      <w:tr>
        <w:tblPrEx>
          <w:tblCellMar>
            <w:top w:w="0" w:type="dxa"/>
            <w:left w:w="108" w:type="dxa"/>
            <w:bottom w:w="0" w:type="dxa"/>
            <w:right w:w="108" w:type="dxa"/>
          </w:tblCellMar>
        </w:tblPrEx>
        <w:trPr>
          <w:trHeight w:val="710" w:hRule="atLeast"/>
        </w:trPr>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10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资产管理</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资产管理信息系统建设</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1</w:t>
            </w:r>
          </w:p>
        </w:tc>
        <w:tc>
          <w:tcPr>
            <w:tcW w:w="22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部门资产管理信息系统建设情况</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考核部门和单位将国有资产纳入资产信息系统管理情况,已建好部门资产管理信息系统得1分，未建好不得分</w:t>
            </w:r>
          </w:p>
        </w:tc>
        <w:tc>
          <w:tcPr>
            <w:tcW w:w="56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rPr>
                <w:rFonts w:hint="eastAsia" w:ascii="Times New Roman Regular" w:hAnsi="Times New Roman Regular" w:eastAsia="微软雅黑" w:cs="Times New Roman Regular"/>
                <w:color w:val="000000"/>
                <w:sz w:val="18"/>
                <w:szCs w:val="18"/>
                <w:lang w:val="en-US" w:eastAsia="zh-CN" w:bidi="ar-SA"/>
              </w:rPr>
            </w:pPr>
            <w:r>
              <w:rPr>
                <w:rFonts w:hint="eastAsia" w:ascii="Times New Roman Regular" w:hAnsi="Times New Roman Regular" w:eastAsia="微软雅黑" w:cs="Times New Roman Regular"/>
                <w:color w:val="000000"/>
                <w:sz w:val="18"/>
                <w:szCs w:val="18"/>
                <w:lang w:val="en-US" w:eastAsia="zh-CN" w:bidi="ar-SA"/>
              </w:rPr>
              <w:t>1</w:t>
            </w:r>
          </w:p>
        </w:tc>
      </w:tr>
      <w:tr>
        <w:tblPrEx>
          <w:tblCellMar>
            <w:top w:w="0" w:type="dxa"/>
            <w:left w:w="108" w:type="dxa"/>
            <w:bottom w:w="0" w:type="dxa"/>
            <w:right w:w="108" w:type="dxa"/>
          </w:tblCellMar>
        </w:tblPrEx>
        <w:trPr>
          <w:trHeight w:val="750" w:hRule="atLeast"/>
        </w:trPr>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1060"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资产清核</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1</w:t>
            </w:r>
          </w:p>
        </w:tc>
        <w:tc>
          <w:tcPr>
            <w:tcW w:w="22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部门资产清理核实开展情况</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考核部门和单位已按要求及时、真实、准确、全面开展资产清查、核实情况得1分，反之不得分；账实不合的按比例扣分</w:t>
            </w:r>
          </w:p>
        </w:tc>
        <w:tc>
          <w:tcPr>
            <w:tcW w:w="56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rPr>
                <w:rFonts w:hint="eastAsia" w:ascii="Times New Roman Regular" w:hAnsi="Times New Roman Regular" w:eastAsia="微软雅黑" w:cs="Times New Roman Regular"/>
                <w:color w:val="000000"/>
                <w:sz w:val="18"/>
                <w:szCs w:val="18"/>
                <w:lang w:val="en-US" w:eastAsia="zh-CN" w:bidi="ar-SA"/>
              </w:rPr>
            </w:pPr>
            <w:r>
              <w:rPr>
                <w:rFonts w:hint="eastAsia" w:ascii="Times New Roman Regular" w:hAnsi="Times New Roman Regular" w:eastAsia="微软雅黑" w:cs="Times New Roman Regular"/>
                <w:color w:val="000000"/>
                <w:sz w:val="18"/>
                <w:szCs w:val="18"/>
                <w:lang w:val="en-US" w:eastAsia="zh-CN" w:bidi="ar-SA"/>
              </w:rPr>
              <w:t>1</w:t>
            </w:r>
          </w:p>
        </w:tc>
      </w:tr>
      <w:tr>
        <w:tblPrEx>
          <w:tblCellMar>
            <w:top w:w="0" w:type="dxa"/>
            <w:left w:w="108" w:type="dxa"/>
            <w:bottom w:w="0" w:type="dxa"/>
            <w:right w:w="108" w:type="dxa"/>
          </w:tblCellMar>
        </w:tblPrEx>
        <w:trPr>
          <w:trHeight w:val="710" w:hRule="atLeast"/>
        </w:trPr>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1060"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日常管理</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1</w:t>
            </w:r>
          </w:p>
        </w:tc>
        <w:tc>
          <w:tcPr>
            <w:tcW w:w="22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部门资产登记、上报及管理情况</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考核部门和单位已经对国有资产登记、上报，并出台管理办法、制度等措施得1分，差项按比例得分</w:t>
            </w:r>
          </w:p>
        </w:tc>
        <w:tc>
          <w:tcPr>
            <w:tcW w:w="56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rPr>
                <w:rFonts w:hint="eastAsia" w:ascii="Times New Roman Regular" w:hAnsi="Times New Roman Regular" w:eastAsia="微软雅黑" w:cs="Times New Roman Regular"/>
                <w:color w:val="000000"/>
                <w:sz w:val="18"/>
                <w:szCs w:val="18"/>
                <w:lang w:val="en-US" w:eastAsia="zh-CN" w:bidi="ar-SA"/>
              </w:rPr>
            </w:pPr>
            <w:r>
              <w:rPr>
                <w:rFonts w:hint="eastAsia" w:ascii="Times New Roman Regular" w:hAnsi="Times New Roman Regular" w:eastAsia="微软雅黑" w:cs="Times New Roman Regular"/>
                <w:color w:val="000000"/>
                <w:sz w:val="18"/>
                <w:szCs w:val="18"/>
                <w:lang w:val="en-US" w:eastAsia="zh-CN" w:bidi="ar-SA"/>
              </w:rPr>
              <w:t>1</w:t>
            </w:r>
          </w:p>
        </w:tc>
      </w:tr>
      <w:tr>
        <w:tblPrEx>
          <w:tblCellMar>
            <w:top w:w="0" w:type="dxa"/>
            <w:left w:w="108" w:type="dxa"/>
            <w:bottom w:w="0" w:type="dxa"/>
            <w:right w:w="108" w:type="dxa"/>
          </w:tblCellMar>
        </w:tblPrEx>
        <w:trPr>
          <w:trHeight w:val="560" w:hRule="atLeast"/>
        </w:trPr>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10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预决算信息公开</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预算信息公开</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1</w:t>
            </w:r>
          </w:p>
        </w:tc>
        <w:tc>
          <w:tcPr>
            <w:tcW w:w="22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按规定内容、时限公开预算信息</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按规定公开预算信息得1分，未按规定公开相应扣减分数</w:t>
            </w:r>
          </w:p>
        </w:tc>
        <w:tc>
          <w:tcPr>
            <w:tcW w:w="56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rPr>
                <w:rFonts w:hint="eastAsia" w:ascii="Times New Roman Regular" w:hAnsi="Times New Roman Regular" w:eastAsia="微软雅黑" w:cs="Times New Roman Regular"/>
                <w:color w:val="000000"/>
                <w:sz w:val="18"/>
                <w:szCs w:val="18"/>
                <w:lang w:val="en-US" w:eastAsia="zh-CN" w:bidi="ar-SA"/>
              </w:rPr>
            </w:pPr>
            <w:r>
              <w:rPr>
                <w:rFonts w:hint="eastAsia" w:ascii="Times New Roman Regular" w:hAnsi="Times New Roman Regular" w:eastAsia="微软雅黑" w:cs="Times New Roman Regular"/>
                <w:color w:val="000000"/>
                <w:sz w:val="18"/>
                <w:szCs w:val="18"/>
                <w:lang w:val="en-US" w:eastAsia="zh-CN" w:bidi="ar-SA"/>
              </w:rPr>
              <w:t>1</w:t>
            </w:r>
          </w:p>
        </w:tc>
      </w:tr>
      <w:tr>
        <w:tblPrEx>
          <w:tblCellMar>
            <w:top w:w="0" w:type="dxa"/>
            <w:left w:w="108" w:type="dxa"/>
            <w:bottom w:w="0" w:type="dxa"/>
            <w:right w:w="108" w:type="dxa"/>
          </w:tblCellMar>
        </w:tblPrEx>
        <w:trPr>
          <w:trHeight w:val="560" w:hRule="atLeast"/>
        </w:trPr>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1060"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决算信息公开</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1</w:t>
            </w:r>
          </w:p>
        </w:tc>
        <w:tc>
          <w:tcPr>
            <w:tcW w:w="22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按规定内容、时限公开决算信息</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按规定公开决算信息得1分，未按规定公开相应扣减分数</w:t>
            </w:r>
          </w:p>
        </w:tc>
        <w:tc>
          <w:tcPr>
            <w:tcW w:w="56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rPr>
                <w:rFonts w:hint="eastAsia" w:ascii="Times New Roman Regular" w:hAnsi="Times New Roman Regular" w:eastAsia="微软雅黑" w:cs="Times New Roman Regular"/>
                <w:color w:val="000000"/>
                <w:sz w:val="18"/>
                <w:szCs w:val="18"/>
                <w:lang w:val="en-US" w:eastAsia="zh-CN" w:bidi="ar-SA"/>
              </w:rPr>
            </w:pPr>
            <w:r>
              <w:rPr>
                <w:rFonts w:hint="eastAsia" w:ascii="Times New Roman Regular" w:hAnsi="Times New Roman Regular" w:eastAsia="微软雅黑" w:cs="Times New Roman Regular"/>
                <w:color w:val="000000"/>
                <w:sz w:val="18"/>
                <w:szCs w:val="18"/>
                <w:lang w:val="en-US" w:eastAsia="zh-CN" w:bidi="ar-SA"/>
              </w:rPr>
              <w:t>1</w:t>
            </w:r>
          </w:p>
        </w:tc>
      </w:tr>
      <w:tr>
        <w:tblPrEx>
          <w:tblCellMar>
            <w:top w:w="0" w:type="dxa"/>
            <w:left w:w="108" w:type="dxa"/>
            <w:bottom w:w="0" w:type="dxa"/>
            <w:right w:w="108" w:type="dxa"/>
          </w:tblCellMar>
        </w:tblPrEx>
        <w:trPr>
          <w:trHeight w:val="1315" w:hRule="atLeast"/>
        </w:trPr>
        <w:tc>
          <w:tcPr>
            <w:tcW w:w="72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绩效评价实施（15分）</w:t>
            </w: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部门项目自评率　</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部门项目自评率　</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5</w:t>
            </w:r>
          </w:p>
        </w:tc>
        <w:tc>
          <w:tcPr>
            <w:tcW w:w="22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部门实施绩效评价项目覆盖情况</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项目自评率＝自评项目数/项目总数×100%。按项目自评率得分（部门整体支出自评中列示项目的视为已自评）。</w:t>
            </w:r>
          </w:p>
        </w:tc>
        <w:tc>
          <w:tcPr>
            <w:tcW w:w="56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rPr>
                <w:rFonts w:hint="default" w:ascii="Times New Roman Regular" w:hAnsi="Times New Roman Regular" w:eastAsia="微软雅黑" w:cs="Times New Roman Regular"/>
                <w:color w:val="000000"/>
                <w:sz w:val="18"/>
                <w:szCs w:val="18"/>
                <w:lang w:val="en-US" w:eastAsia="zh-CN" w:bidi="ar-SA"/>
              </w:rPr>
            </w:pPr>
            <w:r>
              <w:rPr>
                <w:rFonts w:hint="eastAsia" w:ascii="Times New Roman Regular" w:hAnsi="Times New Roman Regular" w:eastAsia="微软雅黑" w:cs="Times New Roman Regular"/>
                <w:color w:val="000000"/>
                <w:sz w:val="18"/>
                <w:szCs w:val="18"/>
                <w:lang w:val="en-US" w:eastAsia="zh-CN" w:bidi="ar-SA"/>
              </w:rPr>
              <w:t>5</w:t>
            </w:r>
          </w:p>
        </w:tc>
      </w:tr>
      <w:tr>
        <w:tblPrEx>
          <w:tblCellMar>
            <w:top w:w="0" w:type="dxa"/>
            <w:left w:w="108" w:type="dxa"/>
            <w:bottom w:w="0" w:type="dxa"/>
            <w:right w:w="108" w:type="dxa"/>
          </w:tblCellMar>
        </w:tblPrEx>
        <w:trPr>
          <w:trHeight w:val="1100" w:hRule="atLeast"/>
        </w:trPr>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 xml:space="preserve">资金评价覆盖率  </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 xml:space="preserve">资金评价覆盖率  </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5</w:t>
            </w:r>
          </w:p>
        </w:tc>
        <w:tc>
          <w:tcPr>
            <w:tcW w:w="22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部门绩效评价项目资金覆盖情况</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项目资金覆盖率=实施绩效评价项目资金额/部门项目预算资金总额×100%。绩效评价资金覆盖率100%得5分；每低于要求10个百分点扣1分，扣完为止</w:t>
            </w: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default" w:ascii="Times New Roman Regular" w:hAnsi="Times New Roman Regular" w:eastAsia="微软雅黑" w:cs="Times New Roman Regular"/>
                <w:color w:val="000000"/>
                <w:sz w:val="18"/>
                <w:szCs w:val="18"/>
                <w:lang w:val="en-US" w:eastAsia="zh-CN" w:bidi="ar-SA"/>
              </w:rPr>
            </w:pPr>
            <w:r>
              <w:rPr>
                <w:rFonts w:hint="eastAsia" w:ascii="Times New Roman Regular" w:hAnsi="Times New Roman Regular" w:eastAsia="微软雅黑" w:cs="Times New Roman Regular"/>
                <w:color w:val="000000"/>
                <w:sz w:val="18"/>
                <w:szCs w:val="18"/>
                <w:lang w:val="en-US" w:eastAsia="zh-CN" w:bidi="ar-SA"/>
              </w:rPr>
              <w:t>5</w:t>
            </w:r>
          </w:p>
        </w:tc>
      </w:tr>
      <w:tr>
        <w:tblPrEx>
          <w:tblCellMar>
            <w:top w:w="0" w:type="dxa"/>
            <w:left w:w="108" w:type="dxa"/>
            <w:bottom w:w="0" w:type="dxa"/>
            <w:right w:w="108" w:type="dxa"/>
          </w:tblCellMar>
        </w:tblPrEx>
        <w:trPr>
          <w:trHeight w:val="560" w:hRule="atLeast"/>
        </w:trPr>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 xml:space="preserve">评价质量 </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 xml:space="preserve">评价质量 </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5</w:t>
            </w:r>
          </w:p>
        </w:tc>
        <w:tc>
          <w:tcPr>
            <w:tcW w:w="22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部门绩效评价质量情况</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根据评价工作开展情况、评价报告质量、资料收集情况等综合评分</w:t>
            </w: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Times New Roman Regular" w:hAnsi="Times New Roman Regular" w:eastAsia="微软雅黑" w:cs="Times New Roman Regular"/>
                <w:color w:val="000000"/>
                <w:sz w:val="18"/>
                <w:szCs w:val="18"/>
                <w:lang w:val="en-US" w:eastAsia="zh-CN" w:bidi="ar-SA"/>
              </w:rPr>
            </w:pPr>
            <w:r>
              <w:rPr>
                <w:rFonts w:hint="eastAsia" w:ascii="Times New Roman Regular" w:hAnsi="Times New Roman Regular" w:eastAsia="微软雅黑" w:cs="Times New Roman Regular"/>
                <w:color w:val="000000"/>
                <w:sz w:val="18"/>
                <w:szCs w:val="18"/>
                <w:lang w:val="en-US" w:eastAsia="zh-CN" w:bidi="ar-SA"/>
              </w:rPr>
              <w:t>5</w:t>
            </w:r>
          </w:p>
        </w:tc>
      </w:tr>
      <w:tr>
        <w:tblPrEx>
          <w:tblCellMar>
            <w:top w:w="0" w:type="dxa"/>
            <w:left w:w="108" w:type="dxa"/>
            <w:bottom w:w="0" w:type="dxa"/>
            <w:right w:w="108" w:type="dxa"/>
          </w:tblCellMar>
        </w:tblPrEx>
        <w:trPr>
          <w:trHeight w:val="820" w:hRule="atLeast"/>
        </w:trPr>
        <w:tc>
          <w:tcPr>
            <w:tcW w:w="72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评价结　果应用　　（15分）</w:t>
            </w: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绩效信息公开</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绩效信息公开</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3</w:t>
            </w:r>
          </w:p>
        </w:tc>
        <w:tc>
          <w:tcPr>
            <w:tcW w:w="22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绩效信息公开情况</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按《巴中市市级预算绩效信息公开规程》规定公开绩效信息的得3分，未按规定公开相应扣分</w:t>
            </w:r>
          </w:p>
        </w:tc>
        <w:tc>
          <w:tcPr>
            <w:tcW w:w="56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rPr>
                <w:rFonts w:hint="eastAsia" w:ascii="Times New Roman Regular" w:hAnsi="Times New Roman Regular" w:eastAsia="微软雅黑" w:cs="Times New Roman Regular"/>
                <w:color w:val="000000"/>
                <w:sz w:val="18"/>
                <w:szCs w:val="18"/>
                <w:lang w:val="en-US" w:eastAsia="zh-CN" w:bidi="ar-SA"/>
              </w:rPr>
            </w:pPr>
            <w:r>
              <w:rPr>
                <w:rFonts w:hint="eastAsia" w:ascii="Times New Roman Regular" w:hAnsi="Times New Roman Regular" w:eastAsia="微软雅黑" w:cs="Times New Roman Regular"/>
                <w:color w:val="000000"/>
                <w:sz w:val="18"/>
                <w:szCs w:val="18"/>
                <w:lang w:val="en-US" w:eastAsia="zh-CN" w:bidi="ar-SA"/>
              </w:rPr>
              <w:t>3</w:t>
            </w:r>
          </w:p>
        </w:tc>
      </w:tr>
      <w:tr>
        <w:tblPrEx>
          <w:tblCellMar>
            <w:top w:w="0" w:type="dxa"/>
            <w:left w:w="108" w:type="dxa"/>
            <w:bottom w:w="0" w:type="dxa"/>
            <w:right w:w="108" w:type="dxa"/>
          </w:tblCellMar>
        </w:tblPrEx>
        <w:trPr>
          <w:trHeight w:val="820" w:hRule="atLeast"/>
        </w:trPr>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绩效管理问题整改</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绩效管理问题整改</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3</w:t>
            </w:r>
          </w:p>
        </w:tc>
        <w:tc>
          <w:tcPr>
            <w:tcW w:w="22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绩效管理问题整改情况</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上年绩效评价发现的问题全面整改到位的得3分，没有全面整改到位的按比例得分</w:t>
            </w:r>
          </w:p>
        </w:tc>
        <w:tc>
          <w:tcPr>
            <w:tcW w:w="56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rPr>
                <w:rFonts w:hint="eastAsia" w:ascii="Times New Roman Regular" w:hAnsi="Times New Roman Regular" w:eastAsia="微软雅黑" w:cs="Times New Roman Regular"/>
                <w:color w:val="000000"/>
                <w:sz w:val="18"/>
                <w:szCs w:val="18"/>
                <w:lang w:val="en-US" w:eastAsia="zh-CN" w:bidi="ar-SA"/>
              </w:rPr>
            </w:pPr>
            <w:r>
              <w:rPr>
                <w:rFonts w:hint="eastAsia" w:ascii="Times New Roman Regular" w:hAnsi="Times New Roman Regular" w:eastAsia="微软雅黑" w:cs="Times New Roman Regular"/>
                <w:color w:val="000000"/>
                <w:sz w:val="18"/>
                <w:szCs w:val="18"/>
                <w:lang w:val="en-US" w:eastAsia="zh-CN" w:bidi="ar-SA"/>
              </w:rPr>
              <w:t>3</w:t>
            </w:r>
          </w:p>
        </w:tc>
      </w:tr>
      <w:tr>
        <w:tblPrEx>
          <w:tblCellMar>
            <w:top w:w="0" w:type="dxa"/>
            <w:left w:w="108" w:type="dxa"/>
            <w:bottom w:w="0" w:type="dxa"/>
            <w:right w:w="108" w:type="dxa"/>
          </w:tblCellMar>
        </w:tblPrEx>
        <w:trPr>
          <w:trHeight w:val="820" w:hRule="atLeast"/>
        </w:trPr>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其他监督检查问题整改</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其他监督检查问题整改</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3</w:t>
            </w:r>
          </w:p>
        </w:tc>
        <w:tc>
          <w:tcPr>
            <w:tcW w:w="22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其他监督检查问题整改情况</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各级巡视巡察、纪检监察、审计、财政监督检查等发现问题全面整改到位的得3分，没有全面整改到位的按比例得分</w:t>
            </w:r>
          </w:p>
        </w:tc>
        <w:tc>
          <w:tcPr>
            <w:tcW w:w="56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rPr>
                <w:rFonts w:hint="eastAsia" w:ascii="Times New Roman Regular" w:hAnsi="Times New Roman Regular" w:eastAsia="微软雅黑" w:cs="Times New Roman Regular"/>
                <w:color w:val="000000"/>
                <w:sz w:val="18"/>
                <w:szCs w:val="18"/>
                <w:lang w:val="en-US" w:eastAsia="zh-CN" w:bidi="ar-SA"/>
              </w:rPr>
            </w:pPr>
            <w:r>
              <w:rPr>
                <w:rFonts w:hint="eastAsia" w:ascii="Times New Roman Regular" w:hAnsi="Times New Roman Regular" w:eastAsia="微软雅黑" w:cs="Times New Roman Regular"/>
                <w:color w:val="000000"/>
                <w:sz w:val="18"/>
                <w:szCs w:val="18"/>
                <w:lang w:val="en-US" w:eastAsia="zh-CN" w:bidi="ar-SA"/>
              </w:rPr>
              <w:t>3</w:t>
            </w:r>
          </w:p>
        </w:tc>
      </w:tr>
      <w:tr>
        <w:tblPrEx>
          <w:tblCellMar>
            <w:top w:w="0" w:type="dxa"/>
            <w:left w:w="108" w:type="dxa"/>
            <w:bottom w:w="0" w:type="dxa"/>
            <w:right w:w="108" w:type="dxa"/>
          </w:tblCellMar>
        </w:tblPrEx>
        <w:trPr>
          <w:trHeight w:val="610" w:hRule="atLeast"/>
        </w:trPr>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监督管理</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绩效问责</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3</w:t>
            </w:r>
          </w:p>
        </w:tc>
        <w:tc>
          <w:tcPr>
            <w:tcW w:w="22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按规定实施绩效问责情况</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按规定实施绩效问责得3分，未按规定实施绩效问责相应扣分</w:t>
            </w:r>
          </w:p>
        </w:tc>
        <w:tc>
          <w:tcPr>
            <w:tcW w:w="56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rPr>
                <w:rFonts w:hint="eastAsia" w:ascii="Times New Roman Regular" w:hAnsi="Times New Roman Regular" w:eastAsia="微软雅黑" w:cs="Times New Roman Regular"/>
                <w:color w:val="000000"/>
                <w:sz w:val="18"/>
                <w:szCs w:val="18"/>
                <w:lang w:val="en-US" w:eastAsia="zh-CN" w:bidi="ar-SA"/>
              </w:rPr>
            </w:pPr>
            <w:r>
              <w:rPr>
                <w:rFonts w:hint="eastAsia" w:ascii="Times New Roman Regular" w:hAnsi="Times New Roman Regular" w:eastAsia="微软雅黑" w:cs="Times New Roman Regular"/>
                <w:color w:val="000000"/>
                <w:sz w:val="18"/>
                <w:szCs w:val="18"/>
                <w:lang w:val="en-US" w:eastAsia="zh-CN" w:bidi="ar-SA"/>
              </w:rPr>
              <w:t>3</w:t>
            </w:r>
          </w:p>
        </w:tc>
      </w:tr>
      <w:tr>
        <w:tblPrEx>
          <w:tblCellMar>
            <w:top w:w="0" w:type="dxa"/>
            <w:left w:w="108" w:type="dxa"/>
            <w:bottom w:w="0" w:type="dxa"/>
            <w:right w:w="108" w:type="dxa"/>
          </w:tblCellMar>
        </w:tblPrEx>
        <w:trPr>
          <w:trHeight w:val="700" w:hRule="atLeast"/>
        </w:trPr>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项目及资金调整</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项目及资金调整</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3</w:t>
            </w:r>
          </w:p>
        </w:tc>
        <w:tc>
          <w:tcPr>
            <w:tcW w:w="22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根据绩效评价结果调整下年项目及金额情况</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根据上年度绩效评价结果调整下年度项目及金额的得3分，未按规定调整的相应扣分</w:t>
            </w:r>
          </w:p>
        </w:tc>
        <w:tc>
          <w:tcPr>
            <w:tcW w:w="56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rPr>
                <w:rFonts w:hint="eastAsia" w:ascii="Times New Roman Regular" w:hAnsi="Times New Roman Regular" w:eastAsia="微软雅黑" w:cs="Times New Roman Regular"/>
                <w:color w:val="000000"/>
                <w:sz w:val="18"/>
                <w:szCs w:val="18"/>
                <w:lang w:val="en-US" w:eastAsia="zh-CN" w:bidi="ar-SA"/>
              </w:rPr>
            </w:pPr>
            <w:r>
              <w:rPr>
                <w:rFonts w:hint="eastAsia" w:ascii="Times New Roman Regular" w:hAnsi="Times New Roman Regular" w:eastAsia="微软雅黑" w:cs="Times New Roman Regular"/>
                <w:color w:val="000000"/>
                <w:sz w:val="18"/>
                <w:szCs w:val="18"/>
                <w:lang w:val="en-US" w:eastAsia="zh-CN" w:bidi="ar-SA"/>
              </w:rPr>
              <w:t>3</w:t>
            </w:r>
          </w:p>
        </w:tc>
      </w:tr>
      <w:tr>
        <w:tblPrEx>
          <w:tblCellMar>
            <w:top w:w="0" w:type="dxa"/>
            <w:left w:w="108" w:type="dxa"/>
            <w:bottom w:w="0" w:type="dxa"/>
            <w:right w:w="108" w:type="dxa"/>
          </w:tblCellMar>
        </w:tblPrEx>
        <w:trPr>
          <w:trHeight w:val="975" w:hRule="atLeast"/>
        </w:trPr>
        <w:tc>
          <w:tcPr>
            <w:tcW w:w="7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项目支出绩效管理（30分）</w:t>
            </w: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项目支出绩效</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部门实施项目支出评价情况</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30</w:t>
            </w:r>
          </w:p>
        </w:tc>
        <w:tc>
          <w:tcPr>
            <w:tcW w:w="51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按百分制形成的项目支出绩效评价分数换算成此项指标得分。有两个及以上专项预算项目的，以平均分作为得分</w:t>
            </w:r>
          </w:p>
        </w:tc>
        <w:tc>
          <w:tcPr>
            <w:tcW w:w="56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rPr>
                <w:rFonts w:hint="default" w:ascii="Times New Roman Regular" w:hAnsi="Times New Roman Regular" w:eastAsia="微软雅黑" w:cs="Times New Roman Regular"/>
                <w:color w:val="000000"/>
                <w:sz w:val="18"/>
                <w:szCs w:val="18"/>
                <w:lang w:val="en-US" w:eastAsia="zh-CN" w:bidi="ar-SA"/>
              </w:rPr>
            </w:pPr>
            <w:r>
              <w:rPr>
                <w:rFonts w:hint="eastAsia" w:ascii="Times New Roman Regular" w:hAnsi="Times New Roman Regular" w:eastAsia="微软雅黑" w:cs="Times New Roman Regular"/>
                <w:color w:val="000000"/>
                <w:sz w:val="18"/>
                <w:szCs w:val="18"/>
                <w:lang w:val="en-US" w:eastAsia="zh-CN" w:bidi="ar-SA"/>
              </w:rPr>
              <w:t>30</w:t>
            </w:r>
          </w:p>
        </w:tc>
      </w:tr>
      <w:tr>
        <w:tblPrEx>
          <w:tblCellMar>
            <w:top w:w="0" w:type="dxa"/>
            <w:left w:w="108" w:type="dxa"/>
            <w:bottom w:w="0" w:type="dxa"/>
            <w:right w:w="108" w:type="dxa"/>
          </w:tblCellMar>
        </w:tblPrEx>
        <w:trPr>
          <w:trHeight w:val="560" w:hRule="atLeast"/>
        </w:trPr>
        <w:tc>
          <w:tcPr>
            <w:tcW w:w="72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绩效管理创新(+5分)</w:t>
            </w:r>
          </w:p>
        </w:tc>
        <w:tc>
          <w:tcPr>
            <w:tcW w:w="20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管理制度创新　　</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3</w:t>
            </w:r>
          </w:p>
        </w:tc>
        <w:tc>
          <w:tcPr>
            <w:tcW w:w="22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在绩效管理制度有创新</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在绩效管理制度有创新或者发表相关研究文章的相应得分</w:t>
            </w:r>
          </w:p>
        </w:tc>
        <w:tc>
          <w:tcPr>
            <w:tcW w:w="56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rPr>
                <w:rFonts w:ascii="Times New Roman Regular" w:hAnsi="Times New Roman Regular" w:eastAsia="微软雅黑" w:cs="Times New Roman Regular"/>
                <w:color w:val="000000"/>
                <w:sz w:val="18"/>
                <w:szCs w:val="18"/>
                <w:lang w:bidi="ar-SA"/>
              </w:rPr>
            </w:pPr>
          </w:p>
        </w:tc>
      </w:tr>
      <w:tr>
        <w:tblPrEx>
          <w:tblCellMar>
            <w:top w:w="0" w:type="dxa"/>
            <w:left w:w="108" w:type="dxa"/>
            <w:bottom w:w="0" w:type="dxa"/>
            <w:right w:w="108" w:type="dxa"/>
          </w:tblCellMar>
        </w:tblPrEx>
        <w:trPr>
          <w:trHeight w:val="560" w:hRule="atLeast"/>
        </w:trPr>
        <w:tc>
          <w:tcPr>
            <w:tcW w:w="722"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20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工作推进创新　　</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2</w:t>
            </w:r>
          </w:p>
        </w:tc>
        <w:tc>
          <w:tcPr>
            <w:tcW w:w="22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在工作推进中有创新</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在推进自我评价、配合重点评价、完善个性指标体系方面的创新的相应得分</w:t>
            </w:r>
          </w:p>
        </w:tc>
        <w:tc>
          <w:tcPr>
            <w:tcW w:w="56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rPr>
                <w:rFonts w:ascii="Times New Roman Regular" w:hAnsi="Times New Roman Regular" w:eastAsia="微软雅黑" w:cs="Times New Roman Regular"/>
                <w:color w:val="000000"/>
                <w:sz w:val="18"/>
                <w:szCs w:val="18"/>
                <w:lang w:bidi="ar-SA"/>
              </w:rPr>
            </w:pPr>
          </w:p>
        </w:tc>
      </w:tr>
      <w:tr>
        <w:tblPrEx>
          <w:tblCellMar>
            <w:top w:w="0" w:type="dxa"/>
            <w:left w:w="108" w:type="dxa"/>
            <w:bottom w:w="0" w:type="dxa"/>
            <w:right w:w="108" w:type="dxa"/>
          </w:tblCellMar>
        </w:tblPrEx>
        <w:trPr>
          <w:trHeight w:val="1100" w:hRule="atLeast"/>
        </w:trPr>
        <w:tc>
          <w:tcPr>
            <w:tcW w:w="7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监督发现问题 (-5分)</w:t>
            </w:r>
          </w:p>
        </w:tc>
        <w:tc>
          <w:tcPr>
            <w:tcW w:w="20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违规问题</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-5</w:t>
            </w:r>
          </w:p>
        </w:tc>
        <w:tc>
          <w:tcPr>
            <w:tcW w:w="22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部门或个人存在违反财政监督管理等情况</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各级巡视巡察、纪检监察、审计、财政监督检查等发现财政管理问题的，每发现一类问题扣1分（多个部门发现的同类问题不重复扣分），涉及金额或社会影响较大的扣2-5分</w:t>
            </w:r>
          </w:p>
        </w:tc>
        <w:tc>
          <w:tcPr>
            <w:tcW w:w="56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rPr>
                <w:rFonts w:ascii="Times New Roman Regular" w:hAnsi="Times New Roman Regular" w:eastAsia="微软雅黑" w:cs="Times New Roman Regular"/>
                <w:color w:val="000000"/>
                <w:sz w:val="18"/>
                <w:szCs w:val="18"/>
                <w:lang w:bidi="ar-SA"/>
              </w:rPr>
            </w:pPr>
          </w:p>
        </w:tc>
      </w:tr>
      <w:tr>
        <w:tblPrEx>
          <w:tblCellMar>
            <w:top w:w="0" w:type="dxa"/>
            <w:left w:w="108" w:type="dxa"/>
            <w:bottom w:w="0" w:type="dxa"/>
            <w:right w:w="108" w:type="dxa"/>
          </w:tblCellMar>
        </w:tblPrEx>
        <w:trPr>
          <w:trHeight w:val="720" w:hRule="atLeast"/>
        </w:trPr>
        <w:tc>
          <w:tcPr>
            <w:tcW w:w="275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扣分项（-5分）</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-5</w:t>
            </w:r>
          </w:p>
        </w:tc>
        <w:tc>
          <w:tcPr>
            <w:tcW w:w="22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被评价单位配合评价工作情况</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财政重点评价过程中，发现评价对像拖延推诿、提交资料不及时等不配合评价工作的，经报市财政局确认后每次扣1分，最高扣5分</w:t>
            </w:r>
          </w:p>
        </w:tc>
        <w:tc>
          <w:tcPr>
            <w:tcW w:w="56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rPr>
                <w:rFonts w:ascii="Times New Roman Regular" w:hAnsi="Times New Roman Regular" w:eastAsia="微软雅黑" w:cs="Times New Roman Regular"/>
                <w:color w:val="000000"/>
                <w:sz w:val="18"/>
                <w:szCs w:val="18"/>
                <w:lang w:bidi="ar-SA"/>
              </w:rPr>
            </w:pPr>
          </w:p>
        </w:tc>
      </w:tr>
      <w:tr>
        <w:tblPrEx>
          <w:tblCellMar>
            <w:top w:w="0" w:type="dxa"/>
            <w:left w:w="108" w:type="dxa"/>
            <w:bottom w:w="0" w:type="dxa"/>
            <w:right w:w="108" w:type="dxa"/>
          </w:tblCellMar>
        </w:tblPrEx>
        <w:trPr>
          <w:trHeight w:val="445" w:hRule="atLeast"/>
        </w:trPr>
        <w:tc>
          <w:tcPr>
            <w:tcW w:w="1782"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Times New Roman Regular" w:hAnsi="Times New Roman Regular" w:eastAsia="微软雅黑" w:cs="Times New Roman Regular"/>
                <w:color w:val="000000"/>
                <w:sz w:val="18"/>
                <w:szCs w:val="18"/>
                <w:lang w:bidi="ar-SA"/>
              </w:rPr>
            </w:pPr>
            <w:r>
              <w:rPr>
                <w:rFonts w:ascii="Times New Roman Regular" w:hAnsi="Times New Roman Regular" w:eastAsia="微软雅黑" w:cs="Times New Roman Regular"/>
                <w:color w:val="000000"/>
                <w:kern w:val="0"/>
                <w:sz w:val="18"/>
                <w:szCs w:val="18"/>
                <w:lang w:bidi="ar"/>
              </w:rPr>
              <w:t>评价结论</w:t>
            </w:r>
          </w:p>
        </w:tc>
        <w:tc>
          <w:tcPr>
            <w:tcW w:w="7169"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Times New Roman Regular" w:hAnsi="Times New Roman Regular" w:eastAsia="微软雅黑" w:cs="Times New Roman Regular"/>
                <w:color w:val="000000"/>
                <w:sz w:val="16"/>
                <w:szCs w:val="16"/>
                <w:lang w:bidi="ar-SA"/>
              </w:rPr>
            </w:pPr>
            <w:r>
              <w:rPr>
                <w:rFonts w:ascii="Times New Roman Regular" w:hAnsi="Times New Roman Regular" w:eastAsia="微软雅黑" w:cs="Times New Roman Regular"/>
                <w:color w:val="000000"/>
                <w:kern w:val="0"/>
                <w:sz w:val="15"/>
                <w:szCs w:val="16"/>
                <w:lang w:bidi="ar"/>
              </w:rPr>
              <w:t>总评分（Ｘ）　优秀（Ｘ≥90分)　良好（90＞Ｘ≥75分）合格（75分＞Ｘ≥60分）　不合格（Ｘ＜60）分）</w:t>
            </w:r>
          </w:p>
        </w:tc>
      </w:tr>
    </w:tbl>
    <w:p>
      <w:pPr>
        <w:rPr>
          <w:rFonts w:hint="eastAsia" w:hAnsi="宋体" w:cs="宋体"/>
          <w:color w:val="auto"/>
          <w:kern w:val="0"/>
          <w:sz w:val="32"/>
          <w:szCs w:val="32"/>
          <w:highlight w:val="none"/>
          <w:shd w:val="clear" w:color="auto" w:fill="FFFFFF"/>
          <w:lang w:val="zh-CN"/>
        </w:rPr>
      </w:pPr>
      <w:r>
        <w:rPr>
          <w:rFonts w:hint="eastAsia" w:hAnsi="宋体" w:cs="宋体"/>
          <w:color w:val="auto"/>
          <w:kern w:val="0"/>
          <w:sz w:val="32"/>
          <w:szCs w:val="32"/>
          <w:highlight w:val="none"/>
          <w:shd w:val="clear" w:color="auto" w:fill="FFFFFF"/>
          <w:lang w:val="zh-CN"/>
        </w:rPr>
        <w:br w:type="page"/>
      </w:r>
    </w:p>
    <w:p>
      <w:pPr>
        <w:pStyle w:val="2"/>
        <w:rPr>
          <w:rFonts w:hint="eastAsia" w:eastAsia="仿宋_GB2312"/>
          <w:color w:val="auto"/>
          <w:sz w:val="32"/>
          <w:szCs w:val="32"/>
          <w:highlight w:val="none"/>
          <w:lang w:val="en-US" w:eastAsia="zh-CN"/>
        </w:rPr>
      </w:pPr>
      <w:r>
        <w:rPr>
          <w:rFonts w:hint="eastAsia" w:hAnsi="宋体" w:cs="宋体"/>
          <w:color w:val="auto"/>
          <w:kern w:val="0"/>
          <w:sz w:val="32"/>
          <w:szCs w:val="32"/>
          <w:highlight w:val="none"/>
          <w:shd w:val="clear" w:color="auto" w:fill="FFFFFF"/>
          <w:lang w:val="zh-CN"/>
        </w:rPr>
        <w:t>附件</w:t>
      </w:r>
      <w:r>
        <w:rPr>
          <w:rFonts w:hint="eastAsia" w:hAnsi="宋体" w:cs="宋体"/>
          <w:color w:val="auto"/>
          <w:kern w:val="0"/>
          <w:sz w:val="32"/>
          <w:szCs w:val="32"/>
          <w:highlight w:val="none"/>
          <w:shd w:val="clear" w:color="auto" w:fill="FFFFFF"/>
          <w:lang w:val="en-US" w:eastAsia="zh-CN"/>
        </w:rPr>
        <w:t>2</w:t>
      </w:r>
    </w:p>
    <w:p>
      <w:pPr>
        <w:pStyle w:val="34"/>
        <w:keepNext w:val="0"/>
        <w:keepLines w:val="0"/>
        <w:pageBreakBefore w:val="0"/>
        <w:widowControl w:val="0"/>
        <w:kinsoku/>
        <w:wordWrap/>
        <w:overflowPunct/>
        <w:topLinePunct w:val="0"/>
        <w:autoSpaceDE/>
        <w:autoSpaceDN/>
        <w:bidi w:val="0"/>
        <w:spacing w:line="578" w:lineRule="exact"/>
        <w:jc w:val="center"/>
        <w:textAlignment w:val="auto"/>
        <w:rPr>
          <w:rFonts w:hint="eastAsia" w:ascii="方正小标宋简体" w:hAnsi="方正小标宋简体" w:eastAsia="方正小标宋简体" w:cs="方正小标宋简体"/>
          <w:color w:val="auto"/>
          <w:kern w:val="2"/>
          <w:sz w:val="32"/>
          <w:szCs w:val="32"/>
          <w:highlight w:val="none"/>
          <w:lang w:val="en-US" w:eastAsia="zh-CN"/>
        </w:rPr>
      </w:pPr>
      <w:r>
        <w:rPr>
          <w:rFonts w:hint="eastAsia" w:ascii="方正小标宋简体" w:hAnsi="方正小标宋简体" w:eastAsia="方正小标宋简体" w:cs="方正小标宋简体"/>
          <w:color w:val="auto"/>
          <w:kern w:val="2"/>
          <w:sz w:val="32"/>
          <w:szCs w:val="32"/>
          <w:highlight w:val="none"/>
          <w:lang w:val="en-US" w:eastAsia="zh-CN"/>
        </w:rPr>
        <w:t>2023年省级专项资金预算项目绩效自评报告</w:t>
      </w:r>
    </w:p>
    <w:p>
      <w:pPr>
        <w:pStyle w:val="34"/>
        <w:keepNext w:val="0"/>
        <w:keepLines w:val="0"/>
        <w:pageBreakBefore w:val="0"/>
        <w:widowControl w:val="0"/>
        <w:kinsoku/>
        <w:wordWrap/>
        <w:overflowPunct/>
        <w:topLinePunct w:val="0"/>
        <w:autoSpaceDE/>
        <w:autoSpaceDN/>
        <w:bidi w:val="0"/>
        <w:spacing w:line="578" w:lineRule="exact"/>
        <w:ind w:firstLine="640"/>
        <w:jc w:val="center"/>
        <w:textAlignment w:val="auto"/>
        <w:rPr>
          <w:rFonts w:ascii="宋体" w:hAnsi="宋体"/>
          <w:color w:val="auto"/>
          <w:kern w:val="2"/>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78" w:lineRule="exact"/>
        <w:ind w:firstLine="720"/>
        <w:textAlignment w:val="auto"/>
        <w:outlineLvl w:val="1"/>
        <w:rPr>
          <w:rFonts w:ascii="黑体" w:hAnsi="宋体" w:eastAsia="黑体"/>
          <w:color w:val="auto"/>
          <w:sz w:val="32"/>
          <w:szCs w:val="32"/>
          <w:highlight w:val="none"/>
          <w:lang w:val="zh-CN"/>
        </w:rPr>
      </w:pPr>
      <w:bookmarkStart w:id="82" w:name="_Toc9143"/>
      <w:r>
        <w:rPr>
          <w:rFonts w:hint="eastAsia" w:ascii="黑体" w:hAnsi="宋体" w:eastAsia="黑体"/>
          <w:color w:val="auto"/>
          <w:sz w:val="32"/>
          <w:szCs w:val="32"/>
          <w:highlight w:val="none"/>
        </w:rPr>
        <w:t>一、</w:t>
      </w:r>
      <w:r>
        <w:rPr>
          <w:rFonts w:hint="eastAsia" w:ascii="黑体" w:hAnsi="宋体" w:eastAsia="黑体"/>
          <w:color w:val="auto"/>
          <w:sz w:val="32"/>
          <w:szCs w:val="32"/>
          <w:highlight w:val="none"/>
          <w:lang w:val="zh-CN"/>
        </w:rPr>
        <w:t>项目概况</w:t>
      </w:r>
      <w:bookmarkEnd w:id="82"/>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（一）项目基本情况。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1．</w:t>
      </w:r>
      <w:r>
        <w:rPr>
          <w:rFonts w:hint="default" w:ascii="TimesNewRoman" w:hAnsi="TimesNewRoman" w:eastAsia="仿宋_GB2312" w:cs="TimesNewRoman"/>
          <w:color w:val="000000"/>
          <w:spacing w:val="0"/>
          <w:w w:val="100"/>
          <w:sz w:val="32"/>
          <w:szCs w:val="32"/>
          <w:u w:val="none"/>
          <w:lang w:val="zh-CN"/>
        </w:rPr>
        <w:t>根据《“智慧巴中”云平台管理办法》</w:t>
      </w:r>
      <w:r>
        <w:rPr>
          <w:rFonts w:hint="default" w:ascii="TimesNewRoman" w:hAnsi="TimesNewRoman" w:eastAsia="仿宋_GB2312" w:cs="TimesNewRoman"/>
          <w:color w:val="000000"/>
          <w:spacing w:val="0"/>
          <w:w w:val="100"/>
          <w:sz w:val="32"/>
          <w:szCs w:val="32"/>
          <w:u w:val="none"/>
          <w:lang w:val="en-US" w:eastAsia="zh-CN"/>
        </w:rPr>
        <w:t>职责分工，</w:t>
      </w:r>
      <w:r>
        <w:rPr>
          <w:rFonts w:hint="default" w:ascii="TimesNewRoman" w:hAnsi="TimesNewRoman" w:eastAsia="仿宋_GB2312" w:cs="TimesNewRoman"/>
          <w:color w:val="000000"/>
          <w:spacing w:val="0"/>
          <w:w w:val="100"/>
          <w:sz w:val="32"/>
          <w:szCs w:val="32"/>
          <w:u w:val="none"/>
        </w:rPr>
        <w:t>市政务服务和大数据管理局负责</w:t>
      </w:r>
      <w:r>
        <w:rPr>
          <w:rFonts w:hint="default" w:ascii="TimesNewRoman" w:hAnsi="TimesNewRoman" w:eastAsia="仿宋_GB2312" w:cs="TimesNewRoman"/>
          <w:color w:val="000000"/>
          <w:spacing w:val="0"/>
          <w:w w:val="100"/>
          <w:sz w:val="32"/>
          <w:szCs w:val="32"/>
          <w:u w:val="none"/>
          <w:lang w:eastAsia="zh-CN"/>
        </w:rPr>
        <w:t>政务</w:t>
      </w:r>
      <w:r>
        <w:rPr>
          <w:rFonts w:hint="default" w:ascii="TimesNewRoman" w:hAnsi="TimesNewRoman" w:eastAsia="仿宋_GB2312" w:cs="TimesNewRoman"/>
          <w:i w:val="0"/>
          <w:caps w:val="0"/>
          <w:color w:val="000000"/>
          <w:spacing w:val="0"/>
          <w:w w:val="100"/>
          <w:sz w:val="32"/>
          <w:szCs w:val="32"/>
          <w:u w:val="none"/>
          <w:shd w:val="clear" w:color="auto" w:fill="FFFFFF"/>
        </w:rPr>
        <w:t>云</w:t>
      </w:r>
      <w:r>
        <w:rPr>
          <w:rFonts w:hint="default" w:ascii="TimesNewRoman" w:hAnsi="TimesNewRoman" w:eastAsia="仿宋_GB2312" w:cs="TimesNewRoman"/>
          <w:color w:val="000000"/>
          <w:spacing w:val="0"/>
          <w:w w:val="100"/>
          <w:sz w:val="32"/>
          <w:szCs w:val="32"/>
          <w:u w:val="none"/>
        </w:rPr>
        <w:t>建设的统筹协调，研究制定总体规划，执行重大决策，协调解决重要问题</w:t>
      </w:r>
      <w:r>
        <w:rPr>
          <w:rFonts w:hint="default" w:ascii="TimesNewRoman" w:hAnsi="TimesNewRoman" w:eastAsia="仿宋_GB2312" w:cs="TimesNewRoman"/>
          <w:color w:val="000000"/>
          <w:spacing w:val="0"/>
          <w:w w:val="100"/>
          <w:sz w:val="32"/>
          <w:szCs w:val="32"/>
          <w:u w:val="none"/>
          <w:lang w:eastAsia="zh-CN"/>
        </w:rPr>
        <w:t>，</w:t>
      </w:r>
      <w:r>
        <w:rPr>
          <w:rFonts w:hint="default" w:ascii="TimesNewRoman" w:hAnsi="TimesNewRoman" w:eastAsia="仿宋_GB2312" w:cs="TimesNewRoman"/>
          <w:color w:val="000000"/>
          <w:spacing w:val="0"/>
          <w:w w:val="100"/>
          <w:sz w:val="32"/>
          <w:szCs w:val="32"/>
          <w:u w:val="none"/>
        </w:rPr>
        <w:t>推动业务应用上云</w:t>
      </w:r>
      <w:r>
        <w:rPr>
          <w:rFonts w:hint="default" w:ascii="TimesNewRoman" w:hAnsi="TimesNewRoman" w:eastAsia="仿宋_GB2312" w:cs="TimesNewRoman"/>
          <w:color w:val="000000"/>
          <w:spacing w:val="0"/>
          <w:w w:val="100"/>
          <w:sz w:val="32"/>
          <w:szCs w:val="32"/>
          <w:u w:val="none"/>
          <w:lang w:eastAsia="zh-CN"/>
        </w:rPr>
        <w:t>；</w:t>
      </w:r>
      <w:r>
        <w:rPr>
          <w:rFonts w:hint="default" w:ascii="TimesNewRoman" w:hAnsi="TimesNewRoman" w:eastAsia="仿宋_GB2312" w:cs="TimesNewRoman"/>
          <w:i w:val="0"/>
          <w:caps w:val="0"/>
          <w:color w:val="000000"/>
          <w:spacing w:val="0"/>
          <w:w w:val="100"/>
          <w:sz w:val="32"/>
          <w:szCs w:val="32"/>
          <w:u w:val="none"/>
          <w:shd w:val="clear" w:color="auto" w:fill="FFFFFF"/>
        </w:rPr>
        <w:t>负责</w:t>
      </w:r>
      <w:r>
        <w:rPr>
          <w:rFonts w:hint="default" w:ascii="TimesNewRoman" w:hAnsi="TimesNewRoman" w:eastAsia="仿宋_GB2312" w:cs="TimesNewRoman"/>
          <w:i w:val="0"/>
          <w:caps w:val="0"/>
          <w:color w:val="000000"/>
          <w:spacing w:val="0"/>
          <w:w w:val="100"/>
          <w:sz w:val="32"/>
          <w:szCs w:val="32"/>
          <w:u w:val="none"/>
          <w:shd w:val="clear" w:color="auto" w:fill="FFFFFF"/>
          <w:lang w:val="en-US" w:eastAsia="zh-CN"/>
        </w:rPr>
        <w:t>对政务部门</w:t>
      </w:r>
      <w:r>
        <w:rPr>
          <w:rFonts w:hint="default" w:ascii="TimesNewRoman" w:hAnsi="TimesNewRoman" w:eastAsia="仿宋_GB2312" w:cs="TimesNewRoman"/>
          <w:i w:val="0"/>
          <w:caps w:val="0"/>
          <w:color w:val="000000"/>
          <w:spacing w:val="0"/>
          <w:w w:val="100"/>
          <w:sz w:val="32"/>
          <w:szCs w:val="32"/>
          <w:u w:val="none"/>
          <w:shd w:val="clear" w:color="auto" w:fill="FFFFFF"/>
          <w:lang w:eastAsia="zh-CN"/>
        </w:rPr>
        <w:t>政务云资源</w:t>
      </w:r>
      <w:r>
        <w:rPr>
          <w:rFonts w:hint="default" w:ascii="TimesNewRoman" w:hAnsi="TimesNewRoman" w:eastAsia="仿宋_GB2312" w:cs="TimesNewRoman"/>
          <w:i w:val="0"/>
          <w:caps w:val="0"/>
          <w:color w:val="000000"/>
          <w:spacing w:val="0"/>
          <w:w w:val="100"/>
          <w:sz w:val="32"/>
          <w:szCs w:val="32"/>
          <w:u w:val="none"/>
          <w:shd w:val="clear" w:color="auto" w:fill="FFFFFF"/>
        </w:rPr>
        <w:t>申请的指导、审核、调整、</w:t>
      </w:r>
      <w:r>
        <w:rPr>
          <w:rFonts w:hint="default" w:ascii="TimesNewRoman" w:hAnsi="TimesNewRoman" w:eastAsia="仿宋_GB2312" w:cs="TimesNewRoman"/>
          <w:i w:val="0"/>
          <w:caps w:val="0"/>
          <w:color w:val="000000"/>
          <w:spacing w:val="0"/>
          <w:w w:val="100"/>
          <w:sz w:val="32"/>
          <w:szCs w:val="32"/>
          <w:u w:val="none"/>
          <w:shd w:val="clear" w:color="auto" w:fill="FFFFFF"/>
          <w:lang w:eastAsia="zh-CN"/>
        </w:rPr>
        <w:t>监督、绩效评价</w:t>
      </w:r>
      <w:r>
        <w:rPr>
          <w:rFonts w:hint="default" w:ascii="TimesNewRoman" w:hAnsi="TimesNewRoman" w:eastAsia="仿宋_GB2312" w:cs="TimesNewRoman"/>
          <w:i w:val="0"/>
          <w:caps w:val="0"/>
          <w:color w:val="000000"/>
          <w:spacing w:val="0"/>
          <w:w w:val="100"/>
          <w:sz w:val="32"/>
          <w:szCs w:val="32"/>
          <w:u w:val="none"/>
          <w:shd w:val="clear" w:color="auto" w:fill="FFFFFF"/>
          <w:lang w:val="en-US" w:eastAsia="zh-CN"/>
        </w:rPr>
        <w:t>等</w:t>
      </w:r>
      <w:r>
        <w:rPr>
          <w:rFonts w:hint="default" w:ascii="TimesNewRoman" w:hAnsi="TimesNewRoman" w:eastAsia="仿宋_GB2312" w:cs="TimesNewRoman"/>
          <w:i w:val="0"/>
          <w:caps w:val="0"/>
          <w:color w:val="000000"/>
          <w:spacing w:val="0"/>
          <w:w w:val="100"/>
          <w:sz w:val="32"/>
          <w:szCs w:val="32"/>
          <w:u w:val="none"/>
          <w:shd w:val="clear" w:color="auto" w:fill="FFFFFF"/>
        </w:rPr>
        <w:t>；</w:t>
      </w:r>
      <w:r>
        <w:rPr>
          <w:rFonts w:hint="default" w:ascii="TimesNewRoman" w:hAnsi="TimesNewRoman" w:eastAsia="仿宋_GB2312" w:cs="TimesNewRoman"/>
          <w:i w:val="0"/>
          <w:caps w:val="0"/>
          <w:color w:val="000000"/>
          <w:spacing w:val="0"/>
          <w:w w:val="100"/>
          <w:sz w:val="32"/>
          <w:szCs w:val="32"/>
          <w:u w:val="none"/>
          <w:shd w:val="clear" w:color="auto" w:fill="FFFFFF"/>
          <w:lang w:eastAsia="zh-CN"/>
        </w:rPr>
        <w:t>负责</w:t>
      </w:r>
      <w:r>
        <w:rPr>
          <w:rFonts w:hint="default" w:ascii="TimesNewRoman" w:hAnsi="TimesNewRoman" w:eastAsia="仿宋_GB2312" w:cs="TimesNewRoman"/>
          <w:color w:val="000000"/>
          <w:spacing w:val="0"/>
          <w:w w:val="100"/>
          <w:sz w:val="32"/>
          <w:szCs w:val="32"/>
          <w:u w:val="none"/>
          <w:lang w:eastAsia="zh-CN"/>
        </w:rPr>
        <w:t>政务</w:t>
      </w:r>
      <w:r>
        <w:rPr>
          <w:rFonts w:hint="default" w:ascii="TimesNewRoman" w:hAnsi="TimesNewRoman" w:eastAsia="仿宋_GB2312" w:cs="TimesNewRoman"/>
          <w:i w:val="0"/>
          <w:caps w:val="0"/>
          <w:color w:val="000000"/>
          <w:spacing w:val="0"/>
          <w:w w:val="100"/>
          <w:sz w:val="32"/>
          <w:szCs w:val="32"/>
          <w:u w:val="none"/>
          <w:shd w:val="clear" w:color="auto" w:fill="FFFFFF"/>
          <w:lang w:val="en-US" w:eastAsia="zh-CN"/>
        </w:rPr>
        <w:t>云资源</w:t>
      </w:r>
      <w:r>
        <w:rPr>
          <w:rFonts w:hint="default" w:ascii="TimesNewRoman" w:hAnsi="TimesNewRoman" w:eastAsia="仿宋_GB2312" w:cs="TimesNewRoman"/>
          <w:i w:val="0"/>
          <w:caps w:val="0"/>
          <w:color w:val="000000"/>
          <w:spacing w:val="0"/>
          <w:w w:val="100"/>
          <w:sz w:val="32"/>
          <w:szCs w:val="32"/>
          <w:u w:val="none"/>
          <w:shd w:val="clear" w:color="auto" w:fill="FFFFFF"/>
        </w:rPr>
        <w:t>服务采购、监督</w:t>
      </w:r>
      <w:r>
        <w:rPr>
          <w:rFonts w:hint="default" w:ascii="TimesNewRoman" w:hAnsi="TimesNewRoman" w:eastAsia="仿宋_GB2312" w:cs="TimesNewRoman"/>
          <w:i w:val="0"/>
          <w:caps w:val="0"/>
          <w:color w:val="000000"/>
          <w:spacing w:val="0"/>
          <w:w w:val="100"/>
          <w:sz w:val="32"/>
          <w:szCs w:val="32"/>
          <w:u w:val="none"/>
          <w:shd w:val="clear" w:color="auto" w:fill="FFFFFF"/>
          <w:lang w:eastAsia="zh-CN"/>
        </w:rPr>
        <w:t>、绩效</w:t>
      </w:r>
      <w:r>
        <w:rPr>
          <w:rFonts w:hint="default" w:ascii="TimesNewRoman" w:hAnsi="TimesNewRoman" w:eastAsia="仿宋_GB2312" w:cs="TimesNewRoman"/>
          <w:i w:val="0"/>
          <w:caps w:val="0"/>
          <w:color w:val="000000"/>
          <w:spacing w:val="0"/>
          <w:w w:val="100"/>
          <w:sz w:val="32"/>
          <w:szCs w:val="32"/>
          <w:u w:val="none"/>
          <w:shd w:val="clear" w:color="auto" w:fill="FFFFFF"/>
        </w:rPr>
        <w:t>评价和费用结算</w:t>
      </w:r>
      <w:r>
        <w:rPr>
          <w:rFonts w:hint="default" w:ascii="TimesNewRoman" w:hAnsi="TimesNewRoman" w:eastAsia="仿宋_GB2312" w:cs="TimesNewRoman"/>
          <w:i w:val="0"/>
          <w:caps w:val="0"/>
          <w:color w:val="000000"/>
          <w:spacing w:val="0"/>
          <w:w w:val="100"/>
          <w:sz w:val="32"/>
          <w:szCs w:val="32"/>
          <w:u w:val="none"/>
          <w:shd w:val="clear" w:color="auto" w:fill="FFFFFF"/>
          <w:lang w:eastAsia="zh-CN"/>
        </w:rPr>
        <w:t>等工作；加大安全可信的软硬件产品规模化应用，积极推广人工智能、大数据、区块链等前沿技术。</w:t>
      </w:r>
    </w:p>
    <w:p>
      <w:pPr>
        <w:keepNext w:val="0"/>
        <w:keepLines w:val="0"/>
        <w:widowControl/>
        <w:suppressLineNumbers w:val="0"/>
        <w:ind w:firstLine="640" w:firstLineChars="200"/>
        <w:jc w:val="left"/>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2．</w:t>
      </w:r>
      <w:r>
        <w:rPr>
          <w:rFonts w:hint="default" w:ascii="TimesNewRoman" w:hAnsi="TimesNewRoman" w:eastAsia="仿宋_GB2312" w:cs="TimesNewRoman"/>
          <w:color w:val="000000"/>
          <w:spacing w:val="0"/>
          <w:w w:val="100"/>
          <w:kern w:val="2"/>
          <w:sz w:val="32"/>
          <w:szCs w:val="32"/>
          <w:u w:val="none"/>
          <w:lang w:val="en-US" w:eastAsia="zh-CN" w:bidi="ar-SA"/>
        </w:rPr>
        <w:t>该项目资金的申报参考了省内其他市州云资源服务市场价格以及原电子政务云采购价格</w:t>
      </w:r>
      <w:r>
        <w:rPr>
          <w:rFonts w:hint="eastAsia" w:ascii="TimesNewRoman" w:hAnsi="TimesNewRoman" w:eastAsia="仿宋_GB2312" w:cs="TimesNewRoman"/>
          <w:color w:val="000000"/>
          <w:spacing w:val="0"/>
          <w:w w:val="100"/>
          <w:kern w:val="2"/>
          <w:sz w:val="32"/>
          <w:szCs w:val="32"/>
          <w:u w:val="none"/>
          <w:lang w:val="en-US" w:eastAsia="zh-CN" w:bidi="ar-SA"/>
        </w:rPr>
        <w:t>，</w:t>
      </w:r>
      <w:r>
        <w:rPr>
          <w:rFonts w:hint="eastAsia" w:ascii="TimesNewRoman" w:hAnsi="TimesNewRoman" w:eastAsia="仿宋_GB2312" w:cs="TimesNewRoman"/>
          <w:strike w:val="0"/>
          <w:dstrike w:val="0"/>
          <w:color w:val="000000"/>
          <w:spacing w:val="0"/>
          <w:w w:val="100"/>
          <w:sz w:val="32"/>
          <w:szCs w:val="32"/>
          <w:u w:val="none"/>
          <w:lang w:val="zh-CN"/>
        </w:rPr>
        <w:t>并按相关法律法规要求进行立项。</w:t>
      </w:r>
    </w:p>
    <w:p>
      <w:pPr>
        <w:adjustRightInd w:val="0"/>
        <w:snapToGrid w:val="0"/>
        <w:spacing w:line="560" w:lineRule="exact"/>
        <w:ind w:firstLine="720"/>
        <w:rPr>
          <w:rFonts w:hint="default" w:ascii="TimesNewRoman" w:hAnsi="TimesNewRoman" w:eastAsia="仿宋_GB2312" w:cs="TimesNewRoman"/>
          <w:color w:val="000000"/>
          <w:spacing w:val="0"/>
          <w:w w:val="100"/>
          <w:sz w:val="32"/>
          <w:szCs w:val="32"/>
          <w:u w:val="none"/>
          <w:lang w:eastAsia="zh-CN"/>
        </w:rPr>
      </w:pPr>
      <w:r>
        <w:rPr>
          <w:rFonts w:hint="eastAsia" w:ascii="仿宋_GB2312" w:hAnsi="仿宋_GB2312" w:eastAsia="仿宋_GB2312" w:cs="仿宋_GB2312"/>
          <w:color w:val="auto"/>
          <w:kern w:val="0"/>
          <w:sz w:val="32"/>
          <w:szCs w:val="32"/>
          <w:highlight w:val="none"/>
          <w:u w:val="none"/>
          <w:shd w:val="clear" w:color="auto" w:fill="FFFFFF"/>
          <w:lang w:val="zh-CN"/>
        </w:rPr>
        <w:t>3．</w:t>
      </w:r>
      <w:r>
        <w:rPr>
          <w:rFonts w:hint="default" w:ascii="TimesNewRoman" w:hAnsi="TimesNewRoman" w:eastAsia="仿宋_GB2312" w:cs="TimesNewRoman"/>
          <w:strike w:val="0"/>
          <w:dstrike w:val="0"/>
          <w:color w:val="000000"/>
          <w:spacing w:val="0"/>
          <w:w w:val="100"/>
          <w:sz w:val="32"/>
          <w:szCs w:val="32"/>
          <w:u w:val="none"/>
          <w:lang w:val="en-US" w:eastAsia="zh-CN"/>
        </w:rPr>
        <w:t>按照项目资金管理办法使用，专款专用，资金支持的范围是</w:t>
      </w:r>
      <w:r>
        <w:rPr>
          <w:rFonts w:hint="default" w:ascii="TimesNewRoman" w:hAnsi="TimesNewRoman" w:eastAsia="仿宋_GB2312" w:cs="TimesNewRoman"/>
          <w:strike w:val="0"/>
          <w:dstrike w:val="0"/>
          <w:color w:val="000000"/>
          <w:spacing w:val="0"/>
          <w:w w:val="100"/>
          <w:sz w:val="32"/>
          <w:szCs w:val="32"/>
          <w:u w:val="none"/>
          <w:lang w:eastAsia="zh-CN"/>
        </w:rPr>
        <w:t>市本级</w:t>
      </w:r>
      <w:r>
        <w:rPr>
          <w:rFonts w:hint="default" w:ascii="TimesNewRoman" w:hAnsi="TimesNewRoman" w:eastAsia="仿宋_GB2312" w:cs="TimesNewRoman"/>
          <w:strike w:val="0"/>
          <w:dstrike w:val="0"/>
          <w:color w:val="000000"/>
          <w:spacing w:val="0"/>
          <w:w w:val="100"/>
          <w:sz w:val="32"/>
          <w:szCs w:val="32"/>
          <w:u w:val="none"/>
        </w:rPr>
        <w:t>已建成</w:t>
      </w:r>
      <w:r>
        <w:rPr>
          <w:rFonts w:hint="default" w:ascii="TimesNewRoman" w:hAnsi="TimesNewRoman" w:eastAsia="仿宋_GB2312" w:cs="TimesNewRoman"/>
          <w:strike w:val="0"/>
          <w:dstrike w:val="0"/>
          <w:color w:val="000000"/>
          <w:spacing w:val="0"/>
          <w:w w:val="100"/>
          <w:sz w:val="32"/>
          <w:szCs w:val="32"/>
          <w:u w:val="none"/>
          <w:lang w:eastAsia="zh-CN"/>
        </w:rPr>
        <w:t>、</w:t>
      </w:r>
      <w:r>
        <w:rPr>
          <w:rFonts w:hint="default" w:ascii="TimesNewRoman" w:hAnsi="TimesNewRoman" w:eastAsia="仿宋_GB2312" w:cs="TimesNewRoman"/>
          <w:strike w:val="0"/>
          <w:dstrike w:val="0"/>
          <w:color w:val="000000"/>
          <w:spacing w:val="0"/>
          <w:w w:val="100"/>
          <w:sz w:val="32"/>
          <w:szCs w:val="32"/>
          <w:u w:val="none"/>
        </w:rPr>
        <w:t>新建的和改扩建的</w:t>
      </w:r>
      <w:r>
        <w:rPr>
          <w:rFonts w:hint="default" w:ascii="TimesNewRoman" w:hAnsi="TimesNewRoman" w:eastAsia="仿宋_GB2312" w:cs="TimesNewRoman"/>
          <w:strike w:val="0"/>
          <w:dstrike w:val="0"/>
          <w:color w:val="000000"/>
          <w:spacing w:val="0"/>
          <w:w w:val="100"/>
          <w:sz w:val="32"/>
          <w:szCs w:val="32"/>
          <w:u w:val="none"/>
          <w:lang w:eastAsia="zh-CN"/>
        </w:rPr>
        <w:t>需部署上云的</w:t>
      </w:r>
      <w:r>
        <w:rPr>
          <w:rFonts w:hint="default" w:ascii="TimesNewRoman" w:hAnsi="TimesNewRoman" w:eastAsia="仿宋_GB2312" w:cs="TimesNewRoman"/>
          <w:strike w:val="0"/>
          <w:dstrike w:val="0"/>
          <w:color w:val="000000"/>
          <w:spacing w:val="0"/>
          <w:w w:val="100"/>
          <w:sz w:val="32"/>
          <w:szCs w:val="32"/>
          <w:u w:val="none"/>
        </w:rPr>
        <w:t>非涉密信息</w:t>
      </w:r>
      <w:r>
        <w:rPr>
          <w:rFonts w:hint="default" w:ascii="TimesNewRoman" w:hAnsi="TimesNewRoman" w:eastAsia="仿宋_GB2312" w:cs="TimesNewRoman"/>
          <w:color w:val="000000"/>
          <w:spacing w:val="0"/>
          <w:w w:val="100"/>
          <w:sz w:val="32"/>
          <w:szCs w:val="32"/>
          <w:u w:val="none"/>
        </w:rPr>
        <w:t>系统</w:t>
      </w:r>
      <w:r>
        <w:rPr>
          <w:rFonts w:hint="default" w:ascii="TimesNewRoman" w:hAnsi="TimesNewRoman" w:eastAsia="仿宋_GB2312" w:cs="TimesNewRoman"/>
          <w:color w:val="000000"/>
          <w:spacing w:val="0"/>
          <w:w w:val="100"/>
          <w:sz w:val="32"/>
          <w:szCs w:val="32"/>
          <w:u w:val="none"/>
          <w:lang w:eastAsia="zh-CN"/>
        </w:rPr>
        <w:t>购买云资源服务。</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4．</w:t>
      </w:r>
      <w:r>
        <w:rPr>
          <w:rFonts w:hint="default" w:ascii="TimesNewRoman" w:hAnsi="TimesNewRoman" w:eastAsia="仿宋_GB2312" w:cs="TimesNewRoman"/>
          <w:color w:val="000000"/>
          <w:spacing w:val="0"/>
          <w:w w:val="100"/>
          <w:sz w:val="32"/>
          <w:szCs w:val="32"/>
          <w:u w:val="none"/>
          <w:lang w:eastAsia="zh-CN"/>
        </w:rPr>
        <w:t>电子政务云资源</w:t>
      </w:r>
      <w:r>
        <w:rPr>
          <w:rFonts w:hint="default" w:ascii="TimesNewRoman" w:hAnsi="TimesNewRoman" w:eastAsia="仿宋_GB2312" w:cs="TimesNewRoman"/>
          <w:color w:val="000000"/>
          <w:spacing w:val="0"/>
          <w:w w:val="100"/>
          <w:sz w:val="32"/>
          <w:szCs w:val="32"/>
          <w:u w:val="none"/>
        </w:rPr>
        <w:t>服务采用“先申请、再使用、后付费”的原则进行结算</w:t>
      </w:r>
      <w:r>
        <w:rPr>
          <w:rFonts w:hint="default" w:ascii="TimesNewRoman" w:hAnsi="TimesNewRoman" w:eastAsia="仿宋_GB2312" w:cs="TimesNewRoman"/>
          <w:color w:val="000000"/>
          <w:spacing w:val="0"/>
          <w:w w:val="100"/>
          <w:sz w:val="32"/>
          <w:szCs w:val="32"/>
          <w:u w:val="none"/>
          <w:lang w:eastAsia="zh-CN"/>
        </w:rPr>
        <w:t>。</w:t>
      </w:r>
      <w:r>
        <w:rPr>
          <w:rFonts w:hint="default" w:ascii="TimesNewRoman" w:hAnsi="TimesNewRoman" w:eastAsia="仿宋_GB2312" w:cs="TimesNewRoman"/>
          <w:strike w:val="0"/>
          <w:dstrike w:val="0"/>
          <w:color w:val="000000"/>
          <w:spacing w:val="0"/>
          <w:w w:val="100"/>
          <w:sz w:val="32"/>
          <w:szCs w:val="32"/>
          <w:u w:val="none"/>
        </w:rPr>
        <w:t>使用单位按照流程获得</w:t>
      </w:r>
      <w:r>
        <w:rPr>
          <w:rFonts w:hint="default" w:ascii="TimesNewRoman" w:hAnsi="TimesNewRoman" w:eastAsia="仿宋_GB2312" w:cs="TimesNewRoman"/>
          <w:strike w:val="0"/>
          <w:dstrike w:val="0"/>
          <w:color w:val="000000"/>
          <w:spacing w:val="0"/>
          <w:w w:val="100"/>
          <w:sz w:val="32"/>
          <w:szCs w:val="32"/>
          <w:u w:val="none"/>
          <w:lang w:eastAsia="zh-CN"/>
        </w:rPr>
        <w:t>政务云资源</w:t>
      </w:r>
      <w:r>
        <w:rPr>
          <w:rFonts w:hint="default" w:ascii="TimesNewRoman" w:hAnsi="TimesNewRoman" w:eastAsia="仿宋_GB2312" w:cs="TimesNewRoman"/>
          <w:strike w:val="0"/>
          <w:dstrike w:val="0"/>
          <w:color w:val="000000"/>
          <w:spacing w:val="0"/>
          <w:w w:val="100"/>
          <w:sz w:val="32"/>
          <w:szCs w:val="32"/>
          <w:u w:val="none"/>
        </w:rPr>
        <w:t>配额并完成信息系统部署之日起，</w:t>
      </w:r>
      <w:r>
        <w:rPr>
          <w:rFonts w:hint="default" w:ascii="TimesNewRoman" w:hAnsi="TimesNewRoman" w:eastAsia="仿宋_GB2312" w:cs="TimesNewRoman"/>
          <w:color w:val="000000"/>
          <w:spacing w:val="0"/>
          <w:w w:val="100"/>
          <w:sz w:val="32"/>
          <w:szCs w:val="32"/>
          <w:u w:val="none"/>
        </w:rPr>
        <w:t>开始计算</w:t>
      </w:r>
      <w:r>
        <w:rPr>
          <w:rFonts w:hint="default" w:ascii="TimesNewRoman" w:hAnsi="TimesNewRoman" w:eastAsia="仿宋_GB2312" w:cs="TimesNewRoman"/>
          <w:color w:val="000000"/>
          <w:spacing w:val="0"/>
          <w:w w:val="100"/>
          <w:sz w:val="32"/>
          <w:szCs w:val="32"/>
          <w:u w:val="none"/>
          <w:lang w:eastAsia="zh-CN"/>
        </w:rPr>
        <w:t>政务云资源</w:t>
      </w:r>
      <w:r>
        <w:rPr>
          <w:rFonts w:hint="default" w:ascii="TimesNewRoman" w:hAnsi="TimesNewRoman" w:eastAsia="仿宋_GB2312" w:cs="TimesNewRoman"/>
          <w:color w:val="000000"/>
          <w:spacing w:val="0"/>
          <w:w w:val="100"/>
          <w:sz w:val="32"/>
          <w:szCs w:val="32"/>
          <w:u w:val="none"/>
        </w:rPr>
        <w:t>服务费。市政务服务和大数据管理局</w:t>
      </w:r>
      <w:r>
        <w:rPr>
          <w:rFonts w:hint="default" w:ascii="TimesNewRoman" w:hAnsi="TimesNewRoman" w:eastAsia="仿宋_GB2312" w:cs="TimesNewRoman"/>
          <w:strike w:val="0"/>
          <w:dstrike w:val="0"/>
          <w:color w:val="000000"/>
          <w:spacing w:val="0"/>
          <w:w w:val="100"/>
          <w:sz w:val="32"/>
          <w:szCs w:val="32"/>
          <w:u w:val="none"/>
        </w:rPr>
        <w:t>会同</w:t>
      </w:r>
      <w:r>
        <w:rPr>
          <w:rFonts w:hint="default" w:ascii="TimesNewRoman" w:hAnsi="TimesNewRoman" w:eastAsia="仿宋_GB2312" w:cs="TimesNewRoman"/>
          <w:color w:val="000000"/>
          <w:spacing w:val="0"/>
          <w:w w:val="100"/>
          <w:sz w:val="32"/>
          <w:szCs w:val="32"/>
          <w:u w:val="none"/>
        </w:rPr>
        <w:t>市财政局</w:t>
      </w:r>
      <w:r>
        <w:rPr>
          <w:rFonts w:hint="default" w:ascii="TimesNewRoman" w:hAnsi="TimesNewRoman" w:eastAsia="仿宋_GB2312" w:cs="TimesNewRoman"/>
          <w:color w:val="000000"/>
          <w:spacing w:val="0"/>
          <w:w w:val="100"/>
          <w:sz w:val="32"/>
          <w:szCs w:val="32"/>
          <w:u w:val="none"/>
          <w:lang w:val="en-US" w:eastAsia="zh-CN"/>
        </w:rPr>
        <w:t>组织</w:t>
      </w:r>
      <w:r>
        <w:rPr>
          <w:rFonts w:hint="default" w:ascii="TimesNewRoman" w:hAnsi="TimesNewRoman" w:eastAsia="仿宋_GB2312" w:cs="TimesNewRoman"/>
          <w:color w:val="000000"/>
          <w:spacing w:val="0"/>
          <w:w w:val="100"/>
          <w:sz w:val="32"/>
          <w:szCs w:val="32"/>
          <w:u w:val="none"/>
          <w:lang w:eastAsia="zh-CN"/>
        </w:rPr>
        <w:t>对云服务商定期进行</w:t>
      </w:r>
      <w:r>
        <w:rPr>
          <w:rFonts w:hint="default" w:ascii="TimesNewRoman" w:hAnsi="TimesNewRoman" w:eastAsia="仿宋_GB2312" w:cs="TimesNewRoman"/>
          <w:color w:val="000000"/>
          <w:spacing w:val="0"/>
          <w:w w:val="100"/>
          <w:sz w:val="32"/>
          <w:szCs w:val="32"/>
          <w:u w:val="none"/>
          <w:lang w:val="en-US" w:eastAsia="zh-CN"/>
        </w:rPr>
        <w:t>服务</w:t>
      </w:r>
      <w:r>
        <w:rPr>
          <w:rFonts w:hint="default" w:ascii="TimesNewRoman" w:hAnsi="TimesNewRoman" w:eastAsia="仿宋_GB2312" w:cs="TimesNewRoman"/>
          <w:color w:val="000000"/>
          <w:spacing w:val="0"/>
          <w:w w:val="100"/>
          <w:sz w:val="32"/>
          <w:szCs w:val="32"/>
          <w:u w:val="none"/>
          <w:lang w:eastAsia="zh-CN"/>
        </w:rPr>
        <w:t>质量绩效评价，根</w:t>
      </w:r>
      <w:r>
        <w:rPr>
          <w:rFonts w:hint="default" w:ascii="TimesNewRoman" w:hAnsi="TimesNewRoman" w:eastAsia="仿宋_GB2312" w:cs="TimesNewRoman"/>
          <w:color w:val="000000"/>
          <w:spacing w:val="0"/>
          <w:w w:val="100"/>
          <w:sz w:val="32"/>
          <w:szCs w:val="32"/>
          <w:u w:val="none"/>
          <w:lang w:val="en-US" w:eastAsia="zh-CN"/>
        </w:rPr>
        <w:t>据绩效</w:t>
      </w:r>
      <w:r>
        <w:rPr>
          <w:rFonts w:hint="default" w:ascii="TimesNewRoman" w:hAnsi="TimesNewRoman" w:eastAsia="仿宋_GB2312" w:cs="TimesNewRoman"/>
          <w:color w:val="000000"/>
          <w:spacing w:val="0"/>
          <w:w w:val="100"/>
          <w:sz w:val="32"/>
          <w:szCs w:val="32"/>
          <w:u w:val="none"/>
          <w:lang w:eastAsia="zh-CN"/>
        </w:rPr>
        <w:t>评价</w:t>
      </w:r>
      <w:r>
        <w:rPr>
          <w:rFonts w:hint="default" w:ascii="TimesNewRoman" w:hAnsi="TimesNewRoman" w:eastAsia="仿宋_GB2312" w:cs="TimesNewRoman"/>
          <w:color w:val="000000"/>
          <w:spacing w:val="0"/>
          <w:w w:val="100"/>
          <w:sz w:val="32"/>
          <w:szCs w:val="32"/>
          <w:u w:val="none"/>
          <w:lang w:val="en-US" w:eastAsia="zh-CN"/>
        </w:rPr>
        <w:t>结果支付费用</w:t>
      </w:r>
      <w:r>
        <w:rPr>
          <w:rFonts w:hint="default" w:ascii="TimesNewRoman" w:hAnsi="TimesNewRoman" w:eastAsia="仿宋_GB2312" w:cs="TimesNewRoman"/>
          <w:color w:val="000000"/>
          <w:spacing w:val="0"/>
          <w:w w:val="100"/>
          <w:sz w:val="32"/>
          <w:szCs w:val="32"/>
          <w:u w:val="none"/>
        </w:rPr>
        <w:t>。</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（二）项目绩效目标。</w:t>
      </w:r>
    </w:p>
    <w:p>
      <w:pPr>
        <w:adjustRightInd w:val="0"/>
        <w:snapToGrid w:val="0"/>
        <w:spacing w:line="560" w:lineRule="exact"/>
        <w:ind w:firstLine="720"/>
        <w:rPr>
          <w:rFonts w:hint="eastAsia" w:ascii="TimesNewRoman" w:hAnsi="TimesNewRoman" w:eastAsia="仿宋_GB2312" w:cs="TimesNewRoman"/>
          <w:color w:val="000000"/>
          <w:spacing w:val="0"/>
          <w:w w:val="100"/>
          <w:sz w:val="32"/>
          <w:szCs w:val="32"/>
          <w:u w:val="none"/>
          <w:lang w:val="zh-CN" w:eastAsia="zh-CN"/>
        </w:rPr>
      </w:pPr>
      <w:r>
        <w:rPr>
          <w:rFonts w:hint="eastAsia" w:ascii="仿宋_GB2312" w:hAnsi="仿宋_GB2312" w:eastAsia="仿宋_GB2312" w:cs="仿宋_GB2312"/>
          <w:color w:val="auto"/>
          <w:kern w:val="0"/>
          <w:sz w:val="32"/>
          <w:szCs w:val="32"/>
          <w:highlight w:val="none"/>
          <w:u w:val="none"/>
          <w:shd w:val="clear" w:color="auto" w:fill="FFFFFF"/>
          <w:lang w:val="zh-CN"/>
        </w:rPr>
        <w:t>1．</w:t>
      </w:r>
      <w:r>
        <w:rPr>
          <w:rFonts w:hint="default" w:ascii="TimesNewRoman" w:hAnsi="TimesNewRoman" w:eastAsia="仿宋_GB2312" w:cs="TimesNewRoman"/>
          <w:color w:val="000000"/>
          <w:spacing w:val="0"/>
          <w:w w:val="100"/>
          <w:sz w:val="32"/>
          <w:szCs w:val="32"/>
          <w:u w:val="none"/>
          <w:lang w:val="zh-CN" w:eastAsia="zh-CN"/>
        </w:rPr>
        <w:t>本次电子政务云云资源服务采购内容包含计算资源、存储资源、安全资源、网络资源、系统迁移、操作系统、数据备份、运行维护等服务。</w:t>
      </w:r>
    </w:p>
    <w:p>
      <w:pPr>
        <w:adjustRightInd w:val="0"/>
        <w:snapToGrid w:val="0"/>
        <w:spacing w:line="560" w:lineRule="exact"/>
        <w:ind w:firstLine="720"/>
        <w:rPr>
          <w:rFonts w:hint="default" w:ascii="TimesNewRoman" w:hAnsi="TimesNewRoman" w:eastAsia="微软雅黑" w:cs="TimesNewRoman"/>
          <w:color w:val="000000"/>
          <w:sz w:val="32"/>
          <w:szCs w:val="32"/>
          <w:lang w:val="en-US"/>
        </w:rPr>
      </w:pPr>
      <w:r>
        <w:rPr>
          <w:rFonts w:hint="default" w:ascii="TimesNewRoman" w:hAnsi="TimesNewRoman" w:eastAsia="仿宋_GB2312" w:cs="TimesNewRoman"/>
          <w:color w:val="000000"/>
          <w:spacing w:val="0"/>
          <w:w w:val="100"/>
          <w:sz w:val="32"/>
          <w:szCs w:val="32"/>
          <w:u w:val="none"/>
          <w:lang w:val="zh-CN" w:eastAsia="zh-CN"/>
        </w:rPr>
        <w:t>2．按照各使用单位上云政务信息系统实际的云资源服务需求、云服务商提供云资源服务质量、云平台及云上系统安全稳定运行情况</w:t>
      </w:r>
      <w:r>
        <w:rPr>
          <w:rFonts w:hint="eastAsia" w:ascii="TimesNewRoman" w:hAnsi="TimesNewRoman" w:eastAsia="仿宋_GB2312" w:cs="TimesNewRoman"/>
          <w:color w:val="000000"/>
          <w:spacing w:val="0"/>
          <w:w w:val="100"/>
          <w:sz w:val="32"/>
          <w:szCs w:val="32"/>
          <w:u w:val="none"/>
          <w:lang w:val="zh-CN" w:eastAsia="zh-CN"/>
        </w:rPr>
        <w:t>等</w:t>
      </w:r>
      <w:r>
        <w:rPr>
          <w:rFonts w:hint="default" w:ascii="TimesNewRoman" w:hAnsi="TimesNewRoman" w:eastAsia="仿宋_GB2312" w:cs="TimesNewRoman"/>
          <w:color w:val="000000"/>
          <w:spacing w:val="0"/>
          <w:w w:val="100"/>
          <w:sz w:val="32"/>
          <w:szCs w:val="32"/>
          <w:u w:val="none"/>
          <w:lang w:val="zh-CN" w:eastAsia="zh-CN"/>
        </w:rPr>
        <w:t>据实量化和细化。</w:t>
      </w:r>
      <w:r>
        <w:rPr>
          <w:rFonts w:hint="default" w:ascii="TimesNewRoman" w:hAnsi="TimesNewRoman" w:eastAsia="微软雅黑" w:cs="TimesNewRoman"/>
          <w:color w:val="000000"/>
          <w:sz w:val="32"/>
          <w:szCs w:val="32"/>
          <w:lang w:val="zh-CN"/>
        </w:rPr>
        <w:t>云服务商提供</w:t>
      </w:r>
      <w:r>
        <w:rPr>
          <w:rFonts w:hint="default" w:ascii="TimesNewRoman" w:hAnsi="TimesNewRoman" w:eastAsia="仿宋_GB2312" w:cs="TimesNewRoman"/>
          <w:color w:val="000000"/>
          <w:spacing w:val="0"/>
          <w:w w:val="100"/>
          <w:sz w:val="32"/>
          <w:szCs w:val="32"/>
          <w:u w:val="none"/>
          <w:lang w:val="zh-CN" w:eastAsia="zh-CN"/>
        </w:rPr>
        <w:t>包含计算资源、存储资源、安全资源、网络资源、系统迁移、操作系统、数据备份、运行维护等服务</w:t>
      </w:r>
      <w:r>
        <w:rPr>
          <w:rFonts w:hint="eastAsia" w:ascii="TimesNewRoman" w:hAnsi="TimesNewRoman" w:eastAsia="仿宋_GB2312" w:cs="TimesNewRoman"/>
          <w:color w:val="000000"/>
          <w:spacing w:val="0"/>
          <w:w w:val="100"/>
          <w:sz w:val="32"/>
          <w:szCs w:val="32"/>
          <w:u w:val="none"/>
          <w:lang w:val="zh-CN" w:eastAsia="zh-CN"/>
        </w:rPr>
        <w:t>。</w:t>
      </w:r>
      <w:r>
        <w:rPr>
          <w:rFonts w:hint="default" w:ascii="TimesNewRoman" w:hAnsi="TimesNewRoman" w:eastAsia="仿宋_GB2312" w:cs="TimesNewRoman"/>
          <w:color w:val="000000"/>
          <w:spacing w:val="0"/>
          <w:w w:val="100"/>
          <w:sz w:val="32"/>
          <w:szCs w:val="32"/>
          <w:u w:val="none"/>
          <w:lang w:val="zh-CN" w:eastAsia="zh-CN"/>
        </w:rPr>
        <w:t>其中，计算、存储资源由实际需求量和扩充量组成。实际需求量</w:t>
      </w:r>
      <w:r>
        <w:rPr>
          <w:rFonts w:hint="eastAsia" w:ascii="TimesNewRoman" w:hAnsi="TimesNewRoman" w:eastAsia="仿宋_GB2312" w:cs="TimesNewRoman"/>
          <w:color w:val="000000"/>
          <w:spacing w:val="0"/>
          <w:w w:val="100"/>
          <w:sz w:val="32"/>
          <w:szCs w:val="32"/>
          <w:u w:val="none"/>
          <w:lang w:val="zh-CN" w:eastAsia="zh-CN"/>
        </w:rPr>
        <w:t>，</w:t>
      </w:r>
      <w:r>
        <w:rPr>
          <w:rFonts w:hint="default" w:ascii="TimesNewRoman" w:hAnsi="TimesNewRoman" w:eastAsia="仿宋_GB2312" w:cs="TimesNewRoman"/>
          <w:color w:val="000000"/>
          <w:spacing w:val="0"/>
          <w:w w:val="100"/>
          <w:sz w:val="32"/>
          <w:szCs w:val="32"/>
          <w:u w:val="none"/>
          <w:lang w:val="zh-CN" w:eastAsia="zh-CN"/>
        </w:rPr>
        <w:t>云资源vCPU2834核，内存6750GB，存储分配286TB（SAN存储60TB、分布式存储226TB）；扩充量</w:t>
      </w:r>
      <w:r>
        <w:rPr>
          <w:rFonts w:hint="eastAsia" w:ascii="TimesNewRoman" w:hAnsi="TimesNewRoman" w:eastAsia="仿宋_GB2312" w:cs="TimesNewRoman"/>
          <w:color w:val="000000"/>
          <w:spacing w:val="0"/>
          <w:w w:val="100"/>
          <w:sz w:val="32"/>
          <w:szCs w:val="32"/>
          <w:u w:val="none"/>
          <w:lang w:val="zh-CN" w:eastAsia="zh-CN"/>
        </w:rPr>
        <w:t>，</w:t>
      </w:r>
      <w:r>
        <w:rPr>
          <w:rFonts w:hint="default" w:ascii="TimesNewRoman" w:hAnsi="TimesNewRoman" w:eastAsia="仿宋_GB2312" w:cs="TimesNewRoman"/>
          <w:color w:val="000000"/>
          <w:spacing w:val="0"/>
          <w:w w:val="100"/>
          <w:sz w:val="32"/>
          <w:szCs w:val="32"/>
          <w:u w:val="none"/>
          <w:lang w:val="zh-CN" w:eastAsia="zh-CN"/>
        </w:rPr>
        <w:t>云资源vCPU 425核，内存1013GB，存储42.9TB（SAN存储9TB、分布式存储34TB）。提供7*24小时热线人工值守以及响应电话，7*24小时全天候技术支持响应</w:t>
      </w:r>
      <w:r>
        <w:rPr>
          <w:rFonts w:hint="eastAsia" w:ascii="TimesNewRoman" w:hAnsi="TimesNewRoman" w:eastAsia="仿宋_GB2312" w:cs="TimesNewRoman"/>
          <w:color w:val="000000"/>
          <w:spacing w:val="0"/>
          <w:w w:val="100"/>
          <w:sz w:val="32"/>
          <w:szCs w:val="32"/>
          <w:u w:val="none"/>
          <w:lang w:val="zh-CN" w:eastAsia="zh-CN"/>
        </w:rPr>
        <w:t>，保证服务可用性达到</w:t>
      </w:r>
      <w:r>
        <w:rPr>
          <w:rFonts w:hint="eastAsia" w:ascii="TimesNewRoman" w:hAnsi="TimesNewRoman" w:eastAsia="仿宋_GB2312" w:cs="TimesNewRoman"/>
          <w:color w:val="000000"/>
          <w:spacing w:val="0"/>
          <w:w w:val="100"/>
          <w:sz w:val="32"/>
          <w:szCs w:val="32"/>
          <w:u w:val="none"/>
          <w:lang w:val="en-US" w:eastAsia="zh-CN"/>
        </w:rPr>
        <w:t>99.99%</w:t>
      </w:r>
      <w:r>
        <w:rPr>
          <w:rFonts w:hint="default" w:ascii="TimesNewRoman" w:hAnsi="TimesNewRoman" w:eastAsia="仿宋_GB2312" w:cs="TimesNewRoman"/>
          <w:color w:val="000000"/>
          <w:spacing w:val="0"/>
          <w:w w:val="100"/>
          <w:sz w:val="32"/>
          <w:szCs w:val="32"/>
          <w:u w:val="none"/>
          <w:lang w:val="zh-CN" w:eastAsia="zh-CN"/>
        </w:rPr>
        <w:t>。</w:t>
      </w:r>
      <w:r>
        <w:rPr>
          <w:rFonts w:hint="eastAsia" w:ascii="TimesNewRoman" w:hAnsi="TimesNewRoman" w:eastAsia="仿宋_GB2312" w:cs="TimesNewRoman"/>
          <w:color w:val="000000"/>
          <w:spacing w:val="0"/>
          <w:w w:val="100"/>
          <w:sz w:val="32"/>
          <w:szCs w:val="32"/>
          <w:u w:val="none"/>
          <w:lang w:val="zh-CN" w:eastAsia="zh-CN"/>
        </w:rPr>
        <w:t>每年</w:t>
      </w:r>
      <w:r>
        <w:rPr>
          <w:rFonts w:hint="default" w:ascii="TimesNewRoman" w:hAnsi="TimesNewRoman" w:eastAsia="仿宋_GB2312" w:cs="TimesNewRoman"/>
          <w:color w:val="000000"/>
          <w:spacing w:val="0"/>
          <w:w w:val="100"/>
          <w:sz w:val="32"/>
          <w:szCs w:val="32"/>
          <w:u w:val="none"/>
          <w:lang w:val="zh-CN" w:eastAsia="zh-CN"/>
        </w:rPr>
        <w:t>完成等级保护三级测评。同时、云服务商在</w:t>
      </w:r>
      <w:r>
        <w:rPr>
          <w:rFonts w:hint="default" w:ascii="TimesNewRoman" w:hAnsi="TimesNewRoman" w:eastAsia="仿宋_GB2312" w:cs="TimesNewRoman"/>
          <w:color w:val="000000"/>
          <w:spacing w:val="0"/>
          <w:w w:val="100"/>
          <w:sz w:val="32"/>
          <w:szCs w:val="32"/>
          <w:u w:val="none"/>
          <w:lang w:val="en-US" w:eastAsia="zh-CN"/>
        </w:rPr>
        <w:t>60天内完成系统上云部署。</w:t>
      </w:r>
    </w:p>
    <w:p>
      <w:pPr>
        <w:adjustRightInd w:val="0"/>
        <w:snapToGrid w:val="0"/>
        <w:spacing w:line="600" w:lineRule="exact"/>
        <w:ind w:firstLine="720"/>
        <w:rPr>
          <w:rFonts w:hint="default" w:ascii="TimesNewRoman" w:hAnsi="TimesNewRoman" w:eastAsia="黑体" w:cs="TimesNewRoman"/>
          <w:sz w:val="32"/>
          <w:lang w:eastAsia="zh-CN"/>
        </w:rPr>
      </w:pPr>
      <w:r>
        <w:rPr>
          <w:rFonts w:hint="default" w:ascii="TimesNewRoman" w:hAnsi="TimesNewRoman" w:eastAsia="仿宋_GB2312" w:cs="TimesNewRoman"/>
          <w:color w:val="000000"/>
          <w:spacing w:val="0"/>
          <w:w w:val="100"/>
          <w:sz w:val="32"/>
          <w:szCs w:val="32"/>
          <w:u w:val="none"/>
          <w:lang w:val="en-US" w:eastAsia="zh-CN"/>
        </w:rPr>
        <w:t>3.</w:t>
      </w:r>
      <w:r>
        <w:rPr>
          <w:rFonts w:hint="default" w:ascii="TimesNewRoman" w:hAnsi="TimesNewRoman" w:eastAsia="仿宋_GB2312" w:cs="TimesNewRoman"/>
          <w:color w:val="000000"/>
          <w:spacing w:val="0"/>
          <w:w w:val="100"/>
          <w:sz w:val="32"/>
          <w:szCs w:val="32"/>
          <w:u w:val="none"/>
          <w:lang w:val="zh-CN" w:eastAsia="zh-CN"/>
        </w:rPr>
        <w:t>电子政务云云资源服务采购</w:t>
      </w:r>
      <w:r>
        <w:rPr>
          <w:rFonts w:hint="default" w:ascii="TimesNewRoman" w:hAnsi="TimesNewRoman" w:eastAsia="仿宋_GB2312" w:cs="TimesNewRoman"/>
          <w:color w:val="000000"/>
          <w:sz w:val="32"/>
          <w:lang w:val="zh-CN"/>
        </w:rPr>
        <w:t>申报内容与实际采购内容相符，申报目标均合理可行。</w:t>
      </w:r>
    </w:p>
    <w:p>
      <w:pPr>
        <w:keepNext w:val="0"/>
        <w:keepLines w:val="0"/>
        <w:pageBreakBefore w:val="0"/>
        <w:kinsoku/>
        <w:wordWrap/>
        <w:overflowPunct/>
        <w:topLinePunct w:val="0"/>
        <w:autoSpaceDE/>
        <w:autoSpaceDN/>
        <w:bidi w:val="0"/>
        <w:adjustRightInd w:val="0"/>
        <w:snapToGrid w:val="0"/>
        <w:spacing w:line="578" w:lineRule="exact"/>
        <w:ind w:firstLine="642" w:firstLineChars="200"/>
        <w:textAlignment w:val="auto"/>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（三）项目自评步骤及方法。</w:t>
      </w:r>
    </w:p>
    <w:p>
      <w:pPr>
        <w:adjustRightInd w:val="0"/>
        <w:snapToGrid w:val="0"/>
        <w:spacing w:line="560" w:lineRule="exact"/>
        <w:ind w:firstLine="720"/>
        <w:rPr>
          <w:rFonts w:hint="eastAsia" w:ascii="TimesNewRoman" w:hAnsi="TimesNewRoman" w:eastAsia="仿宋_GB2312" w:cs="TimesNewRoman"/>
          <w:color w:val="000000"/>
          <w:spacing w:val="0"/>
          <w:w w:val="100"/>
          <w:sz w:val="32"/>
          <w:szCs w:val="32"/>
          <w:u w:val="none"/>
          <w:lang w:val="zh-CN" w:eastAsia="zh-CN"/>
        </w:rPr>
      </w:pPr>
      <w:bookmarkStart w:id="83" w:name="_Toc23972"/>
      <w:r>
        <w:rPr>
          <w:rFonts w:hint="eastAsia" w:ascii="TimesNewRoman" w:hAnsi="TimesNewRoman" w:eastAsia="仿宋_GB2312" w:cs="TimesNewRoman"/>
          <w:color w:val="000000"/>
          <w:spacing w:val="0"/>
          <w:w w:val="100"/>
          <w:sz w:val="32"/>
          <w:szCs w:val="32"/>
          <w:u w:val="none"/>
          <w:lang w:val="zh-CN" w:eastAsia="zh-CN"/>
        </w:rPr>
        <w:t>本次评价标准以政府、主管部门颁布的国家、地方规范、行业标准及政策文件为首要评价标准，通过定量为主的评分方式进行评价，对于无法定量评价的指标采用定性分析的方法进行评价。</w:t>
      </w:r>
    </w:p>
    <w:p>
      <w:pPr>
        <w:adjustRightInd w:val="0"/>
        <w:snapToGrid w:val="0"/>
        <w:spacing w:line="560" w:lineRule="exact"/>
        <w:ind w:firstLine="720"/>
        <w:rPr>
          <w:rFonts w:hint="eastAsia" w:ascii="TimesNewRoman" w:hAnsi="TimesNewRoman" w:eastAsia="仿宋_GB2312" w:cs="TimesNewRoman"/>
          <w:color w:val="000000"/>
          <w:spacing w:val="0"/>
          <w:w w:val="100"/>
          <w:sz w:val="32"/>
          <w:szCs w:val="32"/>
          <w:u w:val="none"/>
          <w:lang w:val="zh-CN" w:eastAsia="zh-CN"/>
        </w:rPr>
      </w:pPr>
      <w:r>
        <w:rPr>
          <w:rFonts w:hint="eastAsia" w:ascii="TimesNewRoman" w:hAnsi="TimesNewRoman" w:eastAsia="仿宋_GB2312" w:cs="TimesNewRoman"/>
          <w:color w:val="000000"/>
          <w:spacing w:val="0"/>
          <w:w w:val="100"/>
          <w:sz w:val="32"/>
          <w:szCs w:val="32"/>
          <w:u w:val="none"/>
          <w:lang w:val="zh-CN" w:eastAsia="zh-CN"/>
        </w:rPr>
        <w:t>定量指标得分按照以下方法评定:与设定的指标值相比，完成指标值的，记该指标所赋全部分值;对完成值高于指标值较多的，要分析原因，如果是由于原指标值设定明显偏低造成的，要按照偏离度适度调减分值;未完成指标值的，按照完成值与指标值的比例记分。</w:t>
      </w:r>
    </w:p>
    <w:p>
      <w:pPr>
        <w:adjustRightInd w:val="0"/>
        <w:snapToGrid w:val="0"/>
        <w:spacing w:line="560" w:lineRule="exact"/>
        <w:ind w:firstLine="720"/>
        <w:rPr>
          <w:rFonts w:hint="eastAsia" w:ascii="TimesNewRoman" w:hAnsi="TimesNewRoman" w:eastAsia="仿宋_GB2312" w:cs="TimesNewRoman"/>
          <w:color w:val="000000"/>
          <w:spacing w:val="0"/>
          <w:w w:val="100"/>
          <w:sz w:val="32"/>
          <w:szCs w:val="32"/>
          <w:u w:val="none"/>
          <w:lang w:val="zh-CN" w:eastAsia="zh-CN"/>
        </w:rPr>
      </w:pPr>
      <w:r>
        <w:rPr>
          <w:rFonts w:hint="eastAsia" w:ascii="TimesNewRoman" w:hAnsi="TimesNewRoman" w:eastAsia="仿宋_GB2312" w:cs="TimesNewRoman"/>
          <w:color w:val="000000"/>
          <w:spacing w:val="0"/>
          <w:w w:val="100"/>
          <w:sz w:val="32"/>
          <w:szCs w:val="32"/>
          <w:u w:val="none"/>
          <w:lang w:val="zh-CN" w:eastAsia="zh-CN"/>
        </w:rPr>
        <w:t>定性指标得分按照以下方法评定:根据指标完成情况分为达成指标、部分达成指标并具有一定效果、未达成指标且效果较差三档，分别按照该指标对应分值区间合理确定分值。</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1"/>
        <w:rPr>
          <w:rFonts w:ascii="黑体" w:hAnsi="宋体" w:eastAsia="黑体"/>
          <w:color w:val="auto"/>
          <w:sz w:val="32"/>
          <w:szCs w:val="32"/>
          <w:highlight w:val="none"/>
          <w:u w:val="none"/>
        </w:rPr>
      </w:pPr>
      <w:r>
        <w:rPr>
          <w:rFonts w:hint="eastAsia" w:ascii="黑体" w:hAnsi="宋体" w:eastAsia="黑体"/>
          <w:color w:val="auto"/>
          <w:sz w:val="32"/>
          <w:szCs w:val="32"/>
          <w:highlight w:val="none"/>
          <w:u w:val="none"/>
        </w:rPr>
        <w:t>二、项目资金申报及使用情况</w:t>
      </w:r>
      <w:bookmarkEnd w:id="83"/>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（一）项目资金申报及批复情况。</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hint="default" w:ascii="TimesNewRoman" w:hAnsi="TimesNewRoman" w:eastAsia="仿宋_GB2312" w:cs="TimesNewRoman"/>
          <w:sz w:val="32"/>
          <w:lang w:val="en-US" w:eastAsia="zh-CN"/>
        </w:rPr>
      </w:pPr>
      <w:r>
        <w:rPr>
          <w:rFonts w:hint="eastAsia" w:ascii="TimesNewRoman" w:hAnsi="TimesNewRoman" w:eastAsia="仿宋_GB2312" w:cs="TimesNewRoman"/>
          <w:sz w:val="32"/>
          <w:lang w:val="en-US" w:eastAsia="zh-CN"/>
        </w:rPr>
        <w:t>项目的</w:t>
      </w:r>
      <w:r>
        <w:rPr>
          <w:rFonts w:hint="default" w:ascii="TimesNewRoman" w:hAnsi="TimesNewRoman" w:eastAsia="仿宋_GB2312" w:cs="TimesNewRoman"/>
          <w:sz w:val="32"/>
          <w:lang w:val="en-US" w:eastAsia="zh-CN"/>
        </w:rPr>
        <w:t>资金申报、批复及预算调整等程序均符合相关政策。</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仿宋_GB2312" w:hAnsi="宋体"/>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（二）资金计划、到位及使用情况（可用表格形式反映）。</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1．资金计划。</w:t>
      </w:r>
      <w:r>
        <w:rPr>
          <w:rFonts w:hint="default" w:ascii="TimesNewRoman" w:hAnsi="TimesNewRoman" w:eastAsia="仿宋_GB2312" w:cs="TimesNewRoman"/>
          <w:sz w:val="32"/>
          <w:lang w:val="zh-CN" w:eastAsia="zh-CN"/>
        </w:rPr>
        <w:t>该项目资金来源为市本级财政资金。</w:t>
      </w:r>
    </w:p>
    <w:p>
      <w:pPr>
        <w:adjustRightInd w:val="0"/>
        <w:snapToGrid w:val="0"/>
        <w:spacing w:line="560" w:lineRule="exact"/>
        <w:ind w:firstLine="720"/>
        <w:rPr>
          <w:rFonts w:hint="default" w:ascii="TimesNewRoman" w:hAnsi="TimesNewRoman" w:eastAsia="仿宋_GB2312" w:cs="TimesNewRoman"/>
          <w:sz w:val="32"/>
          <w:lang w:val="zh-CN" w:eastAsia="zh-CN"/>
        </w:rPr>
      </w:pPr>
      <w:r>
        <w:rPr>
          <w:rFonts w:hint="eastAsia" w:ascii="仿宋_GB2312" w:hAnsi="仿宋_GB2312" w:eastAsia="仿宋_GB2312" w:cs="仿宋_GB2312"/>
          <w:color w:val="auto"/>
          <w:kern w:val="0"/>
          <w:sz w:val="32"/>
          <w:szCs w:val="32"/>
          <w:highlight w:val="none"/>
          <w:u w:val="none"/>
          <w:shd w:val="clear" w:color="auto" w:fill="FFFFFF"/>
          <w:lang w:val="zh-CN"/>
        </w:rPr>
        <w:t>2．资金到位。</w:t>
      </w:r>
      <w:r>
        <w:rPr>
          <w:rFonts w:hint="default" w:ascii="TimesNewRoman" w:hAnsi="TimesNewRoman" w:eastAsia="仿宋_GB2312" w:cs="TimesNewRoman"/>
          <w:sz w:val="32"/>
          <w:lang w:val="en-US" w:eastAsia="zh-CN"/>
        </w:rPr>
        <w:t>资金到位及时，资金到位率100%、到位及时性100%。</w:t>
      </w:r>
    </w:p>
    <w:p>
      <w:pPr>
        <w:adjustRightInd w:val="0"/>
        <w:snapToGrid w:val="0"/>
        <w:spacing w:line="560" w:lineRule="exact"/>
        <w:ind w:firstLine="720"/>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3．资金使用。</w:t>
      </w:r>
      <w:r>
        <w:rPr>
          <w:rFonts w:hint="default" w:ascii="TimesNewRoman" w:hAnsi="TimesNewRoman" w:eastAsia="仿宋_GB2312" w:cs="TimesNewRoman"/>
          <w:sz w:val="32"/>
          <w:lang w:val="en-US" w:eastAsia="zh-CN"/>
        </w:rPr>
        <w:t>按照合同约定，该项目每半年进行一次考核，考评合格后90个工作日内支付费用，且费用不超过三年服务总费用的六分之一，该项目已支付186.825万元。</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（三）项目财务管理情况。</w:t>
      </w:r>
    </w:p>
    <w:p>
      <w:pPr>
        <w:keepNext w:val="0"/>
        <w:keepLines w:val="0"/>
        <w:pageBreakBefore w:val="0"/>
        <w:numPr>
          <w:ilvl w:val="0"/>
          <w:numId w:val="0"/>
        </w:numPr>
        <w:kinsoku/>
        <w:wordWrap/>
        <w:overflowPunct/>
        <w:topLinePunct w:val="0"/>
        <w:autoSpaceDE/>
        <w:autoSpaceDN/>
        <w:bidi w:val="0"/>
        <w:spacing w:line="540" w:lineRule="exact"/>
        <w:ind w:firstLine="640" w:firstLineChars="200"/>
        <w:rPr>
          <w:rFonts w:hint="default" w:ascii="TimesNewRoman" w:hAnsi="TimesNewRoman" w:eastAsia="仿宋_GB2312" w:cs="TimesNewRoman"/>
          <w:sz w:val="32"/>
          <w:lang w:val="zh-CN" w:eastAsia="zh-CN"/>
        </w:rPr>
      </w:pPr>
      <w:bookmarkStart w:id="84" w:name="_Toc3264"/>
      <w:r>
        <w:rPr>
          <w:rFonts w:hint="default" w:ascii="TimesNewRoman" w:hAnsi="TimesNewRoman" w:eastAsia="仿宋_GB2312" w:cs="TimesNewRoman"/>
          <w:sz w:val="32"/>
          <w:lang w:val="zh-CN" w:eastAsia="zh-CN"/>
        </w:rPr>
        <w:t>巴中</w:t>
      </w:r>
      <w:r>
        <w:rPr>
          <w:rFonts w:hint="eastAsia" w:ascii="TimesNewRoman" w:hAnsi="TimesNewRoman" w:eastAsia="仿宋_GB2312" w:cs="TimesNewRoman"/>
          <w:sz w:val="32"/>
          <w:lang w:val="zh-CN" w:eastAsia="zh-CN"/>
        </w:rPr>
        <w:t>市政务服务和大数据管理局</w:t>
      </w:r>
      <w:r>
        <w:rPr>
          <w:rFonts w:hint="default" w:ascii="TimesNewRoman" w:hAnsi="TimesNewRoman" w:eastAsia="仿宋_GB2312" w:cs="TimesNewRoman"/>
          <w:sz w:val="32"/>
          <w:lang w:val="en-US" w:eastAsia="zh-CN"/>
        </w:rPr>
        <w:t>财务管理制度健全</w:t>
      </w:r>
      <w:r>
        <w:rPr>
          <w:rFonts w:hint="default" w:ascii="TimesNewRoman" w:hAnsi="TimesNewRoman" w:eastAsia="仿宋_GB2312" w:cs="TimesNewRoman"/>
          <w:sz w:val="32"/>
          <w:lang w:val="zh-CN" w:eastAsia="zh-CN"/>
        </w:rPr>
        <w:t>，执行财务管理制度严格，处理账务及时，核算规范。</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1"/>
        <w:rPr>
          <w:rFonts w:ascii="黑体" w:hAnsi="宋体" w:eastAsia="黑体"/>
          <w:color w:val="auto"/>
          <w:sz w:val="32"/>
          <w:szCs w:val="32"/>
          <w:highlight w:val="none"/>
          <w:u w:val="none"/>
        </w:rPr>
      </w:pPr>
      <w:r>
        <w:rPr>
          <w:rFonts w:hint="eastAsia" w:ascii="黑体" w:hAnsi="宋体" w:eastAsia="黑体"/>
          <w:color w:val="auto"/>
          <w:sz w:val="32"/>
          <w:szCs w:val="32"/>
          <w:highlight w:val="none"/>
          <w:u w:val="none"/>
        </w:rPr>
        <w:t>三、项目实施及管理情况</w:t>
      </w:r>
      <w:bookmarkEnd w:id="84"/>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hint="default" w:ascii="楷体_GB2312" w:hAnsi="宋体" w:eastAsia="楷体_GB2312"/>
          <w:b/>
          <w:color w:val="auto"/>
          <w:sz w:val="32"/>
          <w:szCs w:val="32"/>
          <w:highlight w:val="none"/>
          <w:u w:val="none"/>
          <w:lang w:val="en-US"/>
        </w:rPr>
      </w:pPr>
      <w:r>
        <w:rPr>
          <w:rFonts w:hint="eastAsia" w:ascii="楷体_GB2312" w:hAnsi="宋体" w:eastAsia="楷体_GB2312"/>
          <w:b/>
          <w:color w:val="auto"/>
          <w:sz w:val="32"/>
          <w:szCs w:val="32"/>
          <w:highlight w:val="none"/>
          <w:u w:val="none"/>
          <w:lang w:val="zh-CN"/>
        </w:rPr>
        <w:t>（一）项目组织架构及实施流程。</w:t>
      </w:r>
      <w:r>
        <w:rPr>
          <w:rFonts w:hint="eastAsia" w:ascii="仿宋_GB2312" w:hAnsi="宋体" w:eastAsia="仿宋_GB2312" w:cs="仿宋_GB2312"/>
          <w:i w:val="0"/>
          <w:iCs w:val="0"/>
          <w:caps w:val="0"/>
          <w:color w:val="000000"/>
          <w:spacing w:val="0"/>
          <w:kern w:val="0"/>
          <w:sz w:val="32"/>
          <w:szCs w:val="32"/>
          <w:shd w:val="clear" w:color="auto" w:fill="FFFFFF"/>
          <w:lang w:val="en-US" w:eastAsia="zh-CN" w:bidi="ar"/>
        </w:rPr>
        <w:t>该</w:t>
      </w:r>
      <w:r>
        <w:rPr>
          <w:rFonts w:ascii="仿宋_GB2312" w:hAnsi="宋体" w:eastAsia="仿宋_GB2312" w:cs="仿宋_GB2312"/>
          <w:i w:val="0"/>
          <w:iCs w:val="0"/>
          <w:caps w:val="0"/>
          <w:color w:val="000000"/>
          <w:spacing w:val="0"/>
          <w:kern w:val="0"/>
          <w:sz w:val="32"/>
          <w:szCs w:val="32"/>
          <w:shd w:val="clear" w:color="auto" w:fill="FFFFFF"/>
          <w:lang w:val="en-US" w:eastAsia="zh-CN" w:bidi="ar"/>
        </w:rPr>
        <w:t>项目由</w:t>
      </w:r>
      <w:r>
        <w:rPr>
          <w:rFonts w:hint="eastAsia" w:ascii="仿宋_GB2312" w:hAnsi="宋体" w:eastAsia="仿宋_GB2312" w:cs="仿宋_GB2312"/>
          <w:i w:val="0"/>
          <w:iCs w:val="0"/>
          <w:caps w:val="0"/>
          <w:color w:val="000000"/>
          <w:spacing w:val="0"/>
          <w:kern w:val="0"/>
          <w:sz w:val="32"/>
          <w:szCs w:val="32"/>
          <w:shd w:val="clear" w:color="auto" w:fill="FFFFFF"/>
          <w:lang w:val="en-US" w:eastAsia="zh-CN" w:bidi="ar"/>
        </w:rPr>
        <w:t>市政务服务和大数据管理局</w:t>
      </w:r>
      <w:r>
        <w:rPr>
          <w:rFonts w:ascii="仿宋_GB2312" w:hAnsi="宋体" w:eastAsia="仿宋_GB2312" w:cs="仿宋_GB2312"/>
          <w:i w:val="0"/>
          <w:iCs w:val="0"/>
          <w:caps w:val="0"/>
          <w:color w:val="000000"/>
          <w:spacing w:val="0"/>
          <w:kern w:val="0"/>
          <w:sz w:val="32"/>
          <w:szCs w:val="32"/>
          <w:shd w:val="clear" w:color="auto" w:fill="FFFFFF"/>
          <w:lang w:val="en-US" w:eastAsia="zh-CN" w:bidi="ar"/>
        </w:rPr>
        <w:t>组织实施，</w:t>
      </w:r>
      <w:r>
        <w:rPr>
          <w:rFonts w:hint="eastAsia" w:ascii="仿宋_GB2312" w:hAnsi="宋体" w:eastAsia="仿宋_GB2312" w:cs="仿宋_GB2312"/>
          <w:i w:val="0"/>
          <w:iCs w:val="0"/>
          <w:caps w:val="0"/>
          <w:color w:val="000000"/>
          <w:spacing w:val="0"/>
          <w:kern w:val="0"/>
          <w:sz w:val="32"/>
          <w:szCs w:val="32"/>
          <w:shd w:val="clear" w:color="auto" w:fill="FFFFFF"/>
          <w:lang w:val="en-US" w:eastAsia="zh-CN" w:bidi="ar"/>
        </w:rPr>
        <w:t>严格按照《“智慧巴中”建设项目管理办法》和</w:t>
      </w:r>
      <w:r>
        <w:rPr>
          <w:rFonts w:hint="eastAsia" w:ascii="仿宋_GB2312" w:hAnsi="Calibri" w:eastAsia="仿宋_GB2312" w:cs="Times New Roman"/>
          <w:b w:val="0"/>
          <w:bCs w:val="0"/>
          <w:kern w:val="2"/>
          <w:sz w:val="32"/>
          <w:szCs w:val="24"/>
          <w:lang w:val="zh-CN" w:eastAsia="zh-CN" w:bidi="ar-SA"/>
        </w:rPr>
        <w:t>《中华人民共和国招标投标法》</w:t>
      </w:r>
      <w:r>
        <w:rPr>
          <w:rFonts w:hint="eastAsia" w:ascii="仿宋_GB2312" w:hAnsi="宋体" w:eastAsia="仿宋_GB2312" w:cs="仿宋_GB2312"/>
          <w:i w:val="0"/>
          <w:iCs w:val="0"/>
          <w:caps w:val="0"/>
          <w:color w:val="000000"/>
          <w:spacing w:val="0"/>
          <w:kern w:val="0"/>
          <w:sz w:val="32"/>
          <w:szCs w:val="32"/>
          <w:shd w:val="clear" w:color="auto" w:fill="FFFFFF"/>
          <w:lang w:val="en-US" w:eastAsia="zh-CN" w:bidi="ar"/>
        </w:rPr>
        <w:t>要求，完成编制采购方案、报市政府常务会议审议、报财政评审、开展招投标工作等工作，并项目对项目的实施</w:t>
      </w:r>
      <w:r>
        <w:rPr>
          <w:rFonts w:ascii="仿宋_GB2312" w:hAnsi="宋体" w:eastAsia="仿宋_GB2312" w:cs="仿宋_GB2312"/>
          <w:i w:val="0"/>
          <w:iCs w:val="0"/>
          <w:caps w:val="0"/>
          <w:color w:val="000000"/>
          <w:spacing w:val="0"/>
          <w:kern w:val="0"/>
          <w:sz w:val="32"/>
          <w:szCs w:val="32"/>
          <w:shd w:val="clear" w:color="auto" w:fill="FFFFFF"/>
          <w:lang w:val="en-US" w:eastAsia="zh-CN" w:bidi="ar"/>
        </w:rPr>
        <w:t>的</w:t>
      </w:r>
      <w:r>
        <w:rPr>
          <w:rFonts w:hint="eastAsia" w:ascii="仿宋_GB2312" w:hAnsi="宋体" w:eastAsia="仿宋_GB2312" w:cs="仿宋_GB2312"/>
          <w:i w:val="0"/>
          <w:iCs w:val="0"/>
          <w:caps w:val="0"/>
          <w:color w:val="000000"/>
          <w:spacing w:val="0"/>
          <w:kern w:val="0"/>
          <w:sz w:val="32"/>
          <w:szCs w:val="32"/>
          <w:shd w:val="clear" w:color="auto" w:fill="FFFFFF"/>
          <w:lang w:val="en-US" w:eastAsia="zh-CN" w:bidi="ar"/>
        </w:rPr>
        <w:t>进行</w:t>
      </w:r>
      <w:r>
        <w:rPr>
          <w:rFonts w:ascii="仿宋_GB2312" w:hAnsi="宋体" w:eastAsia="仿宋_GB2312" w:cs="仿宋_GB2312"/>
          <w:i w:val="0"/>
          <w:iCs w:val="0"/>
          <w:caps w:val="0"/>
          <w:color w:val="000000"/>
          <w:spacing w:val="0"/>
          <w:kern w:val="0"/>
          <w:sz w:val="32"/>
          <w:szCs w:val="32"/>
          <w:shd w:val="clear" w:color="auto" w:fill="FFFFFF"/>
          <w:lang w:val="en-US" w:eastAsia="zh-CN" w:bidi="ar"/>
        </w:rPr>
        <w:t>管理、监督，确保项目按计划高质量、高标准完成任务</w:t>
      </w:r>
      <w:r>
        <w:rPr>
          <w:rFonts w:hint="eastAsia" w:ascii="仿宋_GB2312" w:hAnsi="宋体" w:eastAsia="仿宋_GB2312" w:cs="仿宋_GB2312"/>
          <w:i w:val="0"/>
          <w:iCs w:val="0"/>
          <w:caps w:val="0"/>
          <w:color w:val="000000"/>
          <w:spacing w:val="0"/>
          <w:kern w:val="0"/>
          <w:sz w:val="32"/>
          <w:szCs w:val="32"/>
          <w:shd w:val="clear" w:color="auto" w:fill="FFFFFF"/>
          <w:lang w:val="en-US" w:eastAsia="zh-CN" w:bidi="ar"/>
        </w:rPr>
        <w:t>。</w:t>
      </w:r>
    </w:p>
    <w:p>
      <w:pPr>
        <w:adjustRightInd w:val="0"/>
        <w:snapToGrid w:val="0"/>
        <w:spacing w:line="600" w:lineRule="exact"/>
        <w:ind w:firstLine="720"/>
        <w:rPr>
          <w:rFonts w:hint="eastAsia" w:ascii="仿宋_GB2312" w:eastAsia="仿宋_GB2312" w:cs="Times New Roman"/>
          <w:sz w:val="32"/>
          <w:lang w:val="zh-CN" w:eastAsia="zh-CN"/>
        </w:rPr>
      </w:pPr>
      <w:r>
        <w:rPr>
          <w:rFonts w:hint="eastAsia" w:ascii="楷体_GB2312" w:hAnsi="宋体" w:eastAsia="楷体_GB2312"/>
          <w:b/>
          <w:color w:val="auto"/>
          <w:sz w:val="32"/>
          <w:szCs w:val="32"/>
          <w:highlight w:val="none"/>
          <w:u w:val="none"/>
          <w:lang w:val="zh-CN"/>
        </w:rPr>
        <w:t>（二）项目管理情况。</w:t>
      </w:r>
      <w:r>
        <w:rPr>
          <w:rFonts w:hint="eastAsia" w:ascii="仿宋_GB2312" w:eastAsia="仿宋_GB2312" w:cs="Times New Roman"/>
          <w:sz w:val="32"/>
          <w:lang w:val="en-US" w:eastAsia="zh-CN"/>
        </w:rPr>
        <w:t>市政务服务和大数据管理局</w:t>
      </w:r>
      <w:r>
        <w:rPr>
          <w:rFonts w:hint="eastAsia" w:ascii="仿宋_GB2312" w:eastAsia="仿宋_GB2312" w:cs="Times New Roman"/>
          <w:sz w:val="32"/>
          <w:lang w:val="zh-CN" w:eastAsia="zh-CN"/>
        </w:rPr>
        <w:t>严格按照有关</w:t>
      </w:r>
      <w:r>
        <w:rPr>
          <w:rFonts w:hint="eastAsia" w:ascii="仿宋_GB2312" w:eastAsia="仿宋_GB2312"/>
          <w:sz w:val="32"/>
          <w:lang w:val="zh-CN" w:eastAsia="zh-CN"/>
        </w:rPr>
        <w:t>法律法规及项目管理制</w:t>
      </w:r>
      <w:r>
        <w:rPr>
          <w:rFonts w:hint="eastAsia" w:ascii="仿宋_GB2312" w:eastAsia="仿宋_GB2312" w:cs="Times New Roman"/>
          <w:sz w:val="32"/>
          <w:lang w:val="zh-CN" w:eastAsia="zh-CN"/>
        </w:rPr>
        <w:t>开展项目管理工作，派专人负责项目的实施，及时发布项目的需求论证公告、招标公告、中标公告，合理合规选择招标代理机构开展招投标工作。</w:t>
      </w:r>
    </w:p>
    <w:p>
      <w:pPr>
        <w:numPr>
          <w:ilvl w:val="0"/>
          <w:numId w:val="0"/>
        </w:numPr>
        <w:adjustRightInd w:val="0"/>
        <w:snapToGrid w:val="0"/>
        <w:spacing w:line="600" w:lineRule="exact"/>
        <w:ind w:firstLine="642" w:firstLineChars="200"/>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楷体_GB2312" w:hAnsi="宋体" w:eastAsia="楷体_GB2312"/>
          <w:b/>
          <w:color w:val="auto"/>
          <w:sz w:val="32"/>
          <w:szCs w:val="32"/>
          <w:highlight w:val="none"/>
          <w:u w:val="none"/>
          <w:lang w:val="zh-CN"/>
        </w:rPr>
        <w:t>（三）项目监管情况。</w:t>
      </w:r>
      <w:r>
        <w:rPr>
          <w:rFonts w:hint="eastAsia" w:ascii="TimesNewRoman" w:hAnsi="TimesNewRoman" w:eastAsia="仿宋_GB2312" w:cs="TimesNewRoman"/>
          <w:color w:val="000000"/>
          <w:sz w:val="32"/>
          <w:lang w:val="zh-CN"/>
        </w:rPr>
        <w:t>为加强电子政务云管理，市政务服务和大数据管理局落实专人负责电子政务云的相关工作</w:t>
      </w:r>
      <w:r>
        <w:rPr>
          <w:rFonts w:hint="default" w:ascii="TimesNewRoman" w:hAnsi="TimesNewRoman" w:eastAsia="仿宋_GB2312" w:cs="TimesNewRoman"/>
          <w:color w:val="000000"/>
          <w:sz w:val="32"/>
          <w:lang w:val="zh-CN"/>
        </w:rPr>
        <w:t>，</w:t>
      </w:r>
      <w:r>
        <w:rPr>
          <w:rFonts w:hint="eastAsia" w:ascii="TimesNewRoman" w:hAnsi="TimesNewRoman" w:eastAsia="仿宋_GB2312" w:cs="TimesNewRoman"/>
          <w:color w:val="000000"/>
          <w:sz w:val="32"/>
          <w:lang w:val="zh-CN"/>
        </w:rPr>
        <w:t>定期与不</w:t>
      </w:r>
      <w:r>
        <w:rPr>
          <w:rFonts w:hint="default" w:ascii="TimesNewRoman" w:hAnsi="TimesNewRoman" w:eastAsia="仿宋_GB2312" w:cs="TimesNewRoman"/>
          <w:color w:val="000000"/>
          <w:sz w:val="32"/>
          <w:lang w:val="zh-CN"/>
        </w:rPr>
        <w:t>定期对政务云的软件和硬件、机房运行情况</w:t>
      </w:r>
      <w:r>
        <w:rPr>
          <w:rFonts w:hint="eastAsia" w:ascii="TimesNewRoman" w:hAnsi="TimesNewRoman" w:eastAsia="仿宋_GB2312" w:cs="TimesNewRoman"/>
          <w:color w:val="000000"/>
          <w:sz w:val="32"/>
          <w:lang w:val="zh-CN"/>
        </w:rPr>
        <w:t>、云服务商运维情况</w:t>
      </w:r>
      <w:r>
        <w:rPr>
          <w:rFonts w:hint="default" w:ascii="TimesNewRoman" w:hAnsi="TimesNewRoman" w:eastAsia="仿宋_GB2312" w:cs="TimesNewRoman"/>
          <w:color w:val="000000"/>
          <w:sz w:val="32"/>
          <w:lang w:val="zh-CN"/>
        </w:rPr>
        <w:t>进行巡查</w:t>
      </w:r>
      <w:r>
        <w:rPr>
          <w:rFonts w:hint="eastAsia" w:ascii="TimesNewRoman" w:hAnsi="TimesNewRoman" w:eastAsia="仿宋_GB2312" w:cs="TimesNewRoman"/>
          <w:color w:val="000000"/>
          <w:sz w:val="32"/>
          <w:lang w:val="zh-CN"/>
        </w:rPr>
        <w:t>，严格把关涉及云平台任何操作，及时督促云服务商开展应急演练，等保测评、分析云资源使用效益，确保云平台高效稳定运行</w:t>
      </w:r>
      <w:r>
        <w:rPr>
          <w:rFonts w:hint="default" w:ascii="TimesNewRoman" w:hAnsi="TimesNewRoman" w:eastAsia="仿宋_GB2312" w:cs="TimesNewRoman"/>
          <w:color w:val="000000"/>
          <w:sz w:val="32"/>
          <w:lang w:val="zh-CN"/>
        </w:rPr>
        <w:t>。运行至今服务可用性达99.99%，截止目前</w:t>
      </w:r>
      <w:r>
        <w:rPr>
          <w:rFonts w:hint="eastAsia" w:ascii="TimesNewRoman" w:hAnsi="TimesNewRoman" w:eastAsia="仿宋_GB2312" w:cs="TimesNewRoman"/>
          <w:color w:val="000000"/>
          <w:sz w:val="32"/>
          <w:lang w:val="zh-CN"/>
        </w:rPr>
        <w:t>未发生重大</w:t>
      </w:r>
      <w:r>
        <w:rPr>
          <w:rFonts w:hint="default" w:ascii="TimesNewRoman" w:hAnsi="TimesNewRoman" w:eastAsia="仿宋_GB2312" w:cs="TimesNewRoman"/>
          <w:color w:val="000000"/>
          <w:sz w:val="32"/>
          <w:lang w:val="zh-CN"/>
        </w:rPr>
        <w:t>安全事故。</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1"/>
        <w:rPr>
          <w:rFonts w:ascii="仿宋_GB2312" w:hAnsi="宋体"/>
          <w:color w:val="auto"/>
          <w:sz w:val="32"/>
          <w:szCs w:val="32"/>
          <w:highlight w:val="none"/>
          <w:u w:val="none"/>
          <w:lang w:val="zh-CN"/>
        </w:rPr>
      </w:pPr>
      <w:bookmarkStart w:id="85" w:name="_Toc20210"/>
      <w:r>
        <w:rPr>
          <w:rFonts w:hint="eastAsia" w:ascii="黑体" w:hAnsi="宋体" w:eastAsia="黑体"/>
          <w:color w:val="auto"/>
          <w:sz w:val="32"/>
          <w:szCs w:val="32"/>
          <w:highlight w:val="none"/>
          <w:u w:val="none"/>
        </w:rPr>
        <w:t>四、项目绩效情况</w:t>
      </w:r>
      <w:bookmarkEnd w:id="85"/>
      <w:r>
        <w:rPr>
          <w:rFonts w:hint="eastAsia" w:ascii="仿宋_GB2312" w:hAnsi="宋体"/>
          <w:color w:val="auto"/>
          <w:sz w:val="32"/>
          <w:szCs w:val="32"/>
          <w:highlight w:val="none"/>
          <w:u w:val="none"/>
          <w:lang w:val="zh-CN"/>
        </w:rPr>
        <w:tab/>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（一）项目完成情况。</w:t>
      </w:r>
    </w:p>
    <w:p>
      <w:pPr>
        <w:adjustRightInd w:val="0"/>
        <w:snapToGrid w:val="0"/>
        <w:spacing w:line="600" w:lineRule="exact"/>
        <w:ind w:firstLine="720"/>
        <w:rPr>
          <w:rFonts w:hint="default" w:ascii="TimesNewRoman" w:hAnsi="TimesNewRoman" w:eastAsia="仿宋_GB2312" w:cs="TimesNewRoman"/>
          <w:color w:val="000000"/>
          <w:sz w:val="32"/>
          <w:szCs w:val="32"/>
          <w:lang w:val="zh-CN"/>
        </w:rPr>
      </w:pPr>
      <w:r>
        <w:rPr>
          <w:rFonts w:hint="default" w:ascii="TimesNewRoman" w:hAnsi="TimesNewRoman" w:eastAsia="仿宋_GB2312" w:cs="TimesNewRoman"/>
          <w:color w:val="000000"/>
          <w:sz w:val="32"/>
          <w:szCs w:val="32"/>
          <w:lang w:val="zh-CN"/>
        </w:rPr>
        <w:t>1.该</w:t>
      </w:r>
      <w:r>
        <w:rPr>
          <w:rFonts w:hint="default" w:ascii="TimesNewRoman" w:hAnsi="TimesNewRoman" w:eastAsia="仿宋_GB2312" w:cs="TimesNewRoman"/>
          <w:sz w:val="32"/>
          <w:szCs w:val="32"/>
          <w:lang w:val="zh-CN" w:eastAsia="zh-CN"/>
        </w:rPr>
        <w:t>项目严格按照任务量</w:t>
      </w:r>
      <w:r>
        <w:rPr>
          <w:rFonts w:hint="default" w:ascii="TimesNewRoman" w:hAnsi="TimesNewRoman" w:eastAsia="仿宋_GB2312" w:cs="TimesNewRoman"/>
          <w:color w:val="000000"/>
          <w:sz w:val="32"/>
          <w:szCs w:val="32"/>
          <w:lang w:val="zh-CN"/>
        </w:rPr>
        <w:t>要求，</w:t>
      </w:r>
      <w:r>
        <w:rPr>
          <w:rFonts w:hint="eastAsia" w:ascii="TimesNewRoman" w:hAnsi="TimesNewRoman" w:eastAsia="仿宋_GB2312" w:cs="TimesNewRoman"/>
          <w:color w:val="000000"/>
          <w:sz w:val="32"/>
          <w:szCs w:val="32"/>
          <w:lang w:val="zh-CN"/>
        </w:rPr>
        <w:t>按时</w:t>
      </w:r>
      <w:r>
        <w:rPr>
          <w:rFonts w:hint="default" w:ascii="TimesNewRoman" w:hAnsi="TimesNewRoman" w:eastAsia="仿宋_GB2312" w:cs="TimesNewRoman"/>
          <w:sz w:val="32"/>
          <w:szCs w:val="32"/>
          <w:lang w:val="zh-CN" w:eastAsia="zh-CN"/>
        </w:rPr>
        <w:t>完成所需云资源分配、相关政务信息系统部署</w:t>
      </w:r>
      <w:r>
        <w:rPr>
          <w:rFonts w:hint="default" w:ascii="TimesNewRoman" w:hAnsi="TimesNewRoman" w:eastAsia="仿宋_GB2312" w:cs="TimesNewRoman"/>
          <w:color w:val="000000"/>
          <w:sz w:val="32"/>
          <w:szCs w:val="32"/>
          <w:lang w:val="zh-CN"/>
        </w:rPr>
        <w:t>。</w:t>
      </w:r>
    </w:p>
    <w:p>
      <w:pPr>
        <w:adjustRightInd w:val="0"/>
        <w:snapToGrid w:val="0"/>
        <w:spacing w:line="600" w:lineRule="exact"/>
        <w:ind w:firstLine="720"/>
        <w:rPr>
          <w:rFonts w:hint="default" w:ascii="TimesNewRoman" w:hAnsi="TimesNewRoman" w:eastAsia="仿宋_GB2312" w:cs="TimesNewRoman"/>
          <w:color w:val="000000"/>
          <w:sz w:val="32"/>
          <w:szCs w:val="32"/>
          <w:lang w:val="zh-CN"/>
        </w:rPr>
      </w:pPr>
      <w:r>
        <w:rPr>
          <w:rFonts w:hint="default" w:ascii="TimesNewRoman" w:hAnsi="TimesNewRoman" w:eastAsia="仿宋_GB2312" w:cs="TimesNewRoman"/>
          <w:color w:val="000000"/>
          <w:sz w:val="32"/>
          <w:szCs w:val="32"/>
          <w:lang w:val="zh-CN"/>
        </w:rPr>
        <w:t>2.该</w:t>
      </w:r>
      <w:r>
        <w:rPr>
          <w:rFonts w:hint="default" w:ascii="TimesNewRoman" w:hAnsi="TimesNewRoman" w:eastAsia="仿宋_GB2312" w:cs="TimesNewRoman"/>
          <w:sz w:val="32"/>
          <w:szCs w:val="32"/>
          <w:lang w:val="zh-CN" w:eastAsia="zh-CN"/>
        </w:rPr>
        <w:t>项目严格把关服务质量</w:t>
      </w:r>
      <w:r>
        <w:rPr>
          <w:rFonts w:hint="default" w:ascii="TimesNewRoman" w:hAnsi="TimesNewRoman" w:eastAsia="仿宋_GB2312" w:cs="TimesNewRoman"/>
          <w:color w:val="000000"/>
          <w:sz w:val="32"/>
          <w:szCs w:val="32"/>
          <w:lang w:val="zh-CN"/>
        </w:rPr>
        <w:t>，高质量完成了制定的目标，顺利通过专家验收。</w:t>
      </w:r>
    </w:p>
    <w:p>
      <w:pPr>
        <w:adjustRightInd w:val="0"/>
        <w:snapToGrid w:val="0"/>
        <w:spacing w:line="560" w:lineRule="exact"/>
        <w:ind w:firstLine="720"/>
        <w:rPr>
          <w:rFonts w:hint="default" w:ascii="TimesNewRoman" w:hAnsi="TimesNewRoman" w:eastAsia="仿宋_GB2312" w:cs="TimesNewRoman"/>
          <w:color w:val="000000"/>
          <w:sz w:val="32"/>
          <w:szCs w:val="32"/>
          <w:lang w:val="zh-CN"/>
        </w:rPr>
      </w:pPr>
      <w:r>
        <w:rPr>
          <w:rFonts w:hint="default" w:ascii="TimesNewRoman" w:hAnsi="TimesNewRoman" w:eastAsia="仿宋_GB2312" w:cs="TimesNewRoman"/>
          <w:color w:val="000000"/>
          <w:sz w:val="32"/>
          <w:szCs w:val="32"/>
          <w:lang w:val="zh-CN"/>
        </w:rPr>
        <w:t>3.该</w:t>
      </w:r>
      <w:r>
        <w:rPr>
          <w:rFonts w:hint="default" w:ascii="TimesNewRoman" w:hAnsi="TimesNewRoman" w:eastAsia="仿宋_GB2312" w:cs="TimesNewRoman"/>
          <w:sz w:val="32"/>
          <w:szCs w:val="32"/>
          <w:lang w:val="zh-CN" w:eastAsia="zh-CN"/>
        </w:rPr>
        <w:t>项目严格控制实施进度</w:t>
      </w:r>
      <w:r>
        <w:rPr>
          <w:rFonts w:hint="default" w:ascii="TimesNewRoman" w:hAnsi="TimesNewRoman" w:eastAsia="仿宋_GB2312" w:cs="TimesNewRoman"/>
          <w:color w:val="000000"/>
          <w:sz w:val="32"/>
          <w:szCs w:val="32"/>
          <w:lang w:val="zh-CN"/>
        </w:rPr>
        <w:t>，在规定时间内，完成既定目标。</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（二）项目效益情况。</w:t>
      </w:r>
    </w:p>
    <w:p>
      <w:pPr>
        <w:adjustRightInd w:val="0"/>
        <w:snapToGrid w:val="0"/>
        <w:spacing w:line="600" w:lineRule="exact"/>
        <w:ind w:firstLine="720"/>
        <w:rPr>
          <w:rFonts w:hint="default" w:ascii="TimesNewRoman" w:hAnsi="TimesNewRoman" w:eastAsia="黑体" w:cs="TimesNewRoman"/>
          <w:color w:val="000000"/>
          <w:sz w:val="32"/>
          <w:lang w:val="en-US" w:eastAsia="zh-CN"/>
        </w:rPr>
      </w:pPr>
      <w:bookmarkStart w:id="86" w:name="_Toc10046"/>
      <w:r>
        <w:rPr>
          <w:rFonts w:hint="eastAsia" w:ascii="TimesNewRoman" w:hAnsi="TimesNewRoman" w:eastAsia="仿宋_GB2312" w:cs="TimesNewRoman"/>
          <w:color w:val="000000"/>
          <w:sz w:val="32"/>
          <w:lang w:val="zh-CN"/>
        </w:rPr>
        <w:t>该项目的实施，从</w:t>
      </w:r>
      <w:r>
        <w:rPr>
          <w:rFonts w:hint="eastAsia" w:ascii="仿宋_GB2312" w:eastAsia="仿宋_GB2312"/>
          <w:sz w:val="32"/>
          <w:lang w:val="zh-CN" w:eastAsia="zh-CN"/>
        </w:rPr>
        <w:t>经济效益方面</w:t>
      </w:r>
      <w:r>
        <w:rPr>
          <w:rFonts w:hint="eastAsia" w:ascii="TimesNewRoman" w:hAnsi="TimesNewRoman" w:eastAsia="仿宋_GB2312" w:cs="TimesNewRoman"/>
          <w:color w:val="000000"/>
          <w:sz w:val="32"/>
          <w:lang w:val="zh-CN"/>
        </w:rPr>
        <w:t>提升了政务信息系统资源利用率，降低整个财政支出。从</w:t>
      </w:r>
      <w:r>
        <w:rPr>
          <w:rFonts w:hint="eastAsia" w:ascii="仿宋_GB2312" w:eastAsia="仿宋_GB2312"/>
          <w:sz w:val="32"/>
          <w:lang w:val="zh-CN" w:eastAsia="zh-CN"/>
        </w:rPr>
        <w:t>社会效益方面，</w:t>
      </w:r>
      <w:r>
        <w:rPr>
          <w:rFonts w:hint="default" w:ascii="TimesNewRoman" w:hAnsi="TimesNewRoman" w:eastAsia="仿宋_GB2312" w:cs="TimesNewRoman"/>
          <w:color w:val="000000"/>
          <w:sz w:val="32"/>
          <w:lang w:val="zh-CN"/>
        </w:rPr>
        <w:t>通过信息系统集中部署，促进全市信息化项目集约发展，有效提升云资源利用率，实现数据共享，提升政务办事效能，进一步促进了跨地域、跨部门、跨系统“点对点、端对端、零距离”的“无缝对接”，助力构建数字政府，实现“让数据多跑路，让群众少跑腿”。</w:t>
      </w:r>
      <w:r>
        <w:rPr>
          <w:rFonts w:hint="eastAsia" w:ascii="TimesNewRoman" w:hAnsi="TimesNewRoman" w:eastAsia="仿宋_GB2312" w:cs="TimesNewRoman"/>
          <w:color w:val="000000"/>
          <w:sz w:val="32"/>
          <w:lang w:val="zh-CN"/>
        </w:rPr>
        <w:t>从</w:t>
      </w:r>
      <w:r>
        <w:rPr>
          <w:rFonts w:hint="eastAsia" w:ascii="TimesNewRoman" w:hAnsi="TimesNewRoman" w:eastAsia="仿宋_GB2312" w:cs="TimesNewRoman"/>
          <w:color w:val="000000"/>
          <w:sz w:val="32"/>
          <w:lang w:val="zh-CN" w:eastAsia="zh-CN"/>
        </w:rPr>
        <w:t>生态效益方面，</w:t>
      </w:r>
      <w:r>
        <w:rPr>
          <w:rFonts w:hint="default" w:ascii="TimesNewRoman" w:hAnsi="TimesNewRoman" w:eastAsia="仿宋_GB2312" w:cs="TimesNewRoman"/>
          <w:color w:val="000000"/>
          <w:sz w:val="32"/>
          <w:lang w:val="zh-CN"/>
        </w:rPr>
        <w:t>提供节能环保产品</w:t>
      </w:r>
      <w:r>
        <w:rPr>
          <w:rFonts w:hint="eastAsia" w:ascii="TimesNewRoman" w:hAnsi="TimesNewRoman" w:eastAsia="仿宋_GB2312" w:cs="TimesNewRoman"/>
          <w:color w:val="000000"/>
          <w:sz w:val="32"/>
          <w:lang w:val="zh-CN"/>
        </w:rPr>
        <w:t>，降低能耗。从</w:t>
      </w:r>
      <w:r>
        <w:rPr>
          <w:rFonts w:hint="eastAsia" w:ascii="TimesNewRoman" w:hAnsi="TimesNewRoman" w:eastAsia="仿宋_GB2312" w:cs="TimesNewRoman"/>
          <w:color w:val="000000"/>
          <w:sz w:val="32"/>
          <w:lang w:val="zh-CN" w:eastAsia="zh-CN"/>
        </w:rPr>
        <w:t>可持续效益方面，</w:t>
      </w:r>
      <w:r>
        <w:rPr>
          <w:rFonts w:hint="default" w:ascii="TimesNewRoman" w:hAnsi="TimesNewRoman" w:eastAsia="仿宋_GB2312" w:cs="TimesNewRoman"/>
          <w:color w:val="000000"/>
          <w:sz w:val="32"/>
          <w:lang w:val="zh-CN"/>
        </w:rPr>
        <w:t>持续提升资源利用率、整合能力、政务服务效能</w:t>
      </w:r>
      <w:r>
        <w:rPr>
          <w:rFonts w:hint="eastAsia" w:ascii="TimesNewRoman" w:hAnsi="TimesNewRoman" w:eastAsia="仿宋_GB2312" w:cs="TimesNewRoman"/>
          <w:color w:val="000000"/>
          <w:sz w:val="32"/>
          <w:lang w:val="zh-CN"/>
        </w:rPr>
        <w:t>。</w:t>
      </w:r>
      <w:r>
        <w:rPr>
          <w:rFonts w:hint="eastAsia" w:ascii="TimesNewRoman" w:hAnsi="TimesNewRoman" w:eastAsia="仿宋_GB2312" w:cs="TimesNewRoman"/>
          <w:color w:val="000000"/>
          <w:sz w:val="32"/>
          <w:lang w:val="zh-CN" w:eastAsia="zh-CN"/>
        </w:rPr>
        <w:t>项目实施以来，服务对象满意度均达到</w:t>
      </w:r>
      <w:r>
        <w:rPr>
          <w:rFonts w:hint="eastAsia" w:ascii="TimesNewRoman" w:hAnsi="TimesNewRoman" w:eastAsia="仿宋_GB2312" w:cs="TimesNewRoman"/>
          <w:color w:val="000000"/>
          <w:sz w:val="32"/>
          <w:lang w:val="en-US" w:eastAsia="zh-CN"/>
        </w:rPr>
        <w:t>90%以上。</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1"/>
        <w:rPr>
          <w:rFonts w:ascii="黑体" w:hAnsi="宋体" w:eastAsia="黑体"/>
          <w:color w:val="auto"/>
          <w:sz w:val="32"/>
          <w:szCs w:val="32"/>
          <w:highlight w:val="none"/>
          <w:u w:val="none"/>
        </w:rPr>
      </w:pPr>
      <w:r>
        <w:rPr>
          <w:rFonts w:hint="eastAsia" w:ascii="黑体" w:hAnsi="宋体" w:eastAsia="黑体"/>
          <w:color w:val="auto"/>
          <w:sz w:val="32"/>
          <w:szCs w:val="32"/>
          <w:highlight w:val="none"/>
          <w:u w:val="none"/>
        </w:rPr>
        <w:t>五、评价结论及建议</w:t>
      </w:r>
      <w:bookmarkEnd w:id="86"/>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（一）评价结论。</w:t>
      </w:r>
    </w:p>
    <w:p>
      <w:pPr>
        <w:adjustRightInd w:val="0"/>
        <w:snapToGrid w:val="0"/>
        <w:spacing w:line="600" w:lineRule="exact"/>
        <w:ind w:firstLine="720"/>
        <w:rPr>
          <w:rFonts w:hint="default" w:ascii="TimesNewRoman" w:hAnsi="TimesNewRoman" w:eastAsia="仿宋_GB2312" w:cs="TimesNewRoman"/>
          <w:color w:val="000000"/>
          <w:sz w:val="32"/>
          <w:lang w:val="zh-CN"/>
        </w:rPr>
      </w:pPr>
      <w:r>
        <w:rPr>
          <w:rFonts w:hint="eastAsia" w:ascii="TimesNewRoman" w:hAnsi="TimesNewRoman" w:eastAsia="仿宋_GB2312" w:cs="TimesNewRoman"/>
          <w:color w:val="000000"/>
          <w:sz w:val="32"/>
          <w:lang w:val="zh-CN" w:eastAsia="zh-CN"/>
        </w:rPr>
        <w:t>该项目的实施解决了</w:t>
      </w:r>
      <w:r>
        <w:rPr>
          <w:rFonts w:hint="default" w:ascii="TimesNewRoman" w:hAnsi="TimesNewRoman" w:eastAsia="仿宋_GB2312" w:cs="TimesNewRoman"/>
          <w:color w:val="000000"/>
          <w:sz w:val="32"/>
          <w:lang w:val="zh-CN"/>
        </w:rPr>
        <w:t>机房</w:t>
      </w:r>
      <w:r>
        <w:rPr>
          <w:rFonts w:hint="eastAsia" w:ascii="TimesNewRoman" w:hAnsi="TimesNewRoman" w:eastAsia="仿宋_GB2312" w:cs="TimesNewRoman"/>
          <w:color w:val="000000"/>
          <w:sz w:val="32"/>
          <w:lang w:val="zh-CN" w:eastAsia="zh-CN"/>
        </w:rPr>
        <w:t>分散建设、</w:t>
      </w:r>
      <w:r>
        <w:rPr>
          <w:rFonts w:hint="default" w:ascii="TimesNewRoman" w:hAnsi="TimesNewRoman" w:eastAsia="仿宋_GB2312" w:cs="TimesNewRoman"/>
          <w:color w:val="000000"/>
          <w:sz w:val="32"/>
          <w:lang w:val="zh-CN"/>
        </w:rPr>
        <w:t>重复建设</w:t>
      </w:r>
      <w:r>
        <w:rPr>
          <w:rFonts w:hint="eastAsia" w:ascii="TimesNewRoman" w:hAnsi="TimesNewRoman" w:eastAsia="仿宋_GB2312" w:cs="TimesNewRoman"/>
          <w:color w:val="000000"/>
          <w:sz w:val="32"/>
          <w:lang w:val="zh-CN" w:eastAsia="zh-CN"/>
        </w:rPr>
        <w:t>，设备的重复购买，设施</w:t>
      </w:r>
      <w:r>
        <w:rPr>
          <w:rFonts w:hint="default" w:ascii="TimesNewRoman" w:hAnsi="TimesNewRoman" w:eastAsia="仿宋_GB2312" w:cs="TimesNewRoman"/>
          <w:color w:val="000000"/>
          <w:sz w:val="32"/>
          <w:lang w:val="zh-CN"/>
        </w:rPr>
        <w:t>设备</w:t>
      </w:r>
      <w:r>
        <w:rPr>
          <w:rFonts w:hint="eastAsia" w:ascii="TimesNewRoman" w:hAnsi="TimesNewRoman" w:eastAsia="仿宋_GB2312" w:cs="TimesNewRoman"/>
          <w:color w:val="000000"/>
          <w:sz w:val="32"/>
          <w:lang w:val="zh-CN" w:eastAsia="zh-CN"/>
        </w:rPr>
        <w:t>资源</w:t>
      </w:r>
      <w:r>
        <w:rPr>
          <w:rFonts w:hint="default" w:ascii="TimesNewRoman" w:hAnsi="TimesNewRoman" w:eastAsia="仿宋_GB2312" w:cs="TimesNewRoman"/>
          <w:color w:val="000000"/>
          <w:sz w:val="32"/>
          <w:lang w:val="zh-CN"/>
        </w:rPr>
        <w:t>利用率低</w:t>
      </w:r>
      <w:r>
        <w:rPr>
          <w:rFonts w:hint="eastAsia" w:ascii="TimesNewRoman" w:hAnsi="TimesNewRoman" w:eastAsia="仿宋_GB2312" w:cs="TimesNewRoman"/>
          <w:color w:val="000000"/>
          <w:sz w:val="32"/>
          <w:lang w:val="zh-CN" w:eastAsia="zh-CN"/>
        </w:rPr>
        <w:t>等问题，</w:t>
      </w:r>
      <w:r>
        <w:rPr>
          <w:rFonts w:hint="default" w:ascii="TimesNewRoman" w:hAnsi="TimesNewRoman" w:eastAsia="仿宋_GB2312" w:cs="TimesNewRoman"/>
          <w:color w:val="000000"/>
          <w:sz w:val="32"/>
          <w:lang w:val="zh-CN"/>
        </w:rPr>
        <w:t>减少了</w:t>
      </w:r>
      <w:r>
        <w:rPr>
          <w:rFonts w:hint="default" w:ascii="TimesNewRoman" w:hAnsi="TimesNewRoman" w:eastAsia="仿宋_GB2312" w:cs="TimesNewRoman"/>
          <w:color w:val="000000"/>
          <w:sz w:val="32"/>
          <w:lang w:val="zh-CN" w:eastAsia="zh-CN"/>
        </w:rPr>
        <w:t>机房建设</w:t>
      </w:r>
      <w:r>
        <w:rPr>
          <w:rFonts w:hint="eastAsia" w:ascii="TimesNewRoman" w:hAnsi="TimesNewRoman" w:eastAsia="仿宋_GB2312" w:cs="TimesNewRoman"/>
          <w:color w:val="000000"/>
          <w:sz w:val="32"/>
          <w:lang w:val="zh-CN" w:eastAsia="zh-CN"/>
        </w:rPr>
        <w:t>、设备</w:t>
      </w:r>
      <w:r>
        <w:rPr>
          <w:rFonts w:hint="default" w:ascii="TimesNewRoman" w:hAnsi="TimesNewRoman" w:eastAsia="仿宋_GB2312" w:cs="TimesNewRoman"/>
          <w:color w:val="000000"/>
          <w:sz w:val="32"/>
          <w:lang w:val="zh-CN" w:eastAsia="zh-CN"/>
        </w:rPr>
        <w:t>购买</w:t>
      </w:r>
      <w:r>
        <w:rPr>
          <w:rFonts w:hint="default" w:ascii="TimesNewRoman" w:hAnsi="TimesNewRoman" w:eastAsia="仿宋_GB2312" w:cs="TimesNewRoman"/>
          <w:color w:val="000000"/>
          <w:sz w:val="32"/>
          <w:lang w:val="zh-CN"/>
        </w:rPr>
        <w:t>、硬件维护以及能耗</w:t>
      </w:r>
      <w:r>
        <w:rPr>
          <w:rFonts w:hint="eastAsia" w:ascii="TimesNewRoman" w:hAnsi="TimesNewRoman" w:eastAsia="仿宋_GB2312" w:cs="TimesNewRoman"/>
          <w:color w:val="000000"/>
          <w:sz w:val="32"/>
          <w:lang w:val="zh-CN" w:eastAsia="zh-CN"/>
        </w:rPr>
        <w:t>等</w:t>
      </w:r>
      <w:r>
        <w:rPr>
          <w:rFonts w:hint="default" w:ascii="TimesNewRoman" w:hAnsi="TimesNewRoman" w:eastAsia="仿宋_GB2312" w:cs="TimesNewRoman"/>
          <w:color w:val="000000"/>
          <w:sz w:val="32"/>
          <w:lang w:val="zh-CN"/>
        </w:rPr>
        <w:t>费用，</w:t>
      </w:r>
      <w:r>
        <w:rPr>
          <w:rFonts w:hint="eastAsia" w:ascii="TimesNewRoman" w:hAnsi="TimesNewRoman" w:eastAsia="仿宋_GB2312" w:cs="TimesNewRoman"/>
          <w:color w:val="000000"/>
          <w:sz w:val="32"/>
          <w:lang w:val="zh-CN" w:eastAsia="zh-CN"/>
        </w:rPr>
        <w:t>节约了财政资金。同时，</w:t>
      </w:r>
      <w:r>
        <w:rPr>
          <w:rFonts w:hint="default" w:ascii="TimesNewRoman" w:hAnsi="TimesNewRoman" w:eastAsia="仿宋_GB2312" w:cs="TimesNewRoman"/>
          <w:color w:val="000000"/>
          <w:sz w:val="32"/>
          <w:lang w:val="en-US" w:eastAsia="zh-CN"/>
        </w:rPr>
        <w:t>项目经费预算合理，资金使用规范，达到预期目标。</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（二）存在的问题。</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hint="eastAsia" w:ascii="仿宋_GB2312" w:hAnsi="仿宋_GB2312" w:eastAsia="仿宋_GB2312" w:cs="仿宋_GB2312"/>
          <w:color w:val="auto"/>
          <w:kern w:val="0"/>
          <w:sz w:val="32"/>
          <w:szCs w:val="32"/>
          <w:highlight w:val="none"/>
          <w:u w:val="none"/>
          <w:shd w:val="clear" w:color="auto" w:fill="FFFFFF"/>
          <w:lang w:val="en-US" w:eastAsia="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无。</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（三）相关建议。</w:t>
      </w:r>
    </w:p>
    <w:p>
      <w:pPr>
        <w:spacing w:line="580" w:lineRule="exact"/>
        <w:ind w:firstLine="640" w:firstLineChars="200"/>
        <w:rPr>
          <w:rStyle w:val="28"/>
          <w:rFonts w:hint="eastAsia" w:ascii="黑体" w:hAnsi="黑体" w:eastAsia="黑体"/>
          <w:b w:val="0"/>
          <w:color w:val="auto"/>
          <w:highlight w:val="none"/>
          <w:lang w:eastAsia="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无。</w:t>
      </w:r>
    </w:p>
    <w:p>
      <w:pPr>
        <w:widowControl/>
        <w:jc w:val="left"/>
        <w:rPr>
          <w:rStyle w:val="28"/>
          <w:rFonts w:ascii="黑体" w:hAnsi="黑体" w:eastAsia="黑体"/>
          <w:b w:val="0"/>
          <w:color w:val="auto"/>
          <w:highlight w:val="none"/>
        </w:rPr>
      </w:pPr>
      <w:r>
        <w:rPr>
          <w:rStyle w:val="28"/>
          <w:rFonts w:ascii="黑体" w:hAnsi="黑体" w:eastAsia="黑体"/>
          <w:b w:val="0"/>
          <w:color w:val="auto"/>
          <w:highlight w:val="none"/>
        </w:rPr>
        <w:br w:type="page"/>
      </w:r>
    </w:p>
    <w:p>
      <w:pPr>
        <w:spacing w:line="600" w:lineRule="exact"/>
        <w:jc w:val="center"/>
        <w:outlineLvl w:val="0"/>
        <w:rPr>
          <w:rFonts w:hint="eastAsia" w:ascii="仿宋" w:hAnsi="仿宋" w:eastAsia="仿宋"/>
          <w:b w:val="0"/>
          <w:color w:val="auto"/>
          <w:highlight w:val="none"/>
        </w:rPr>
      </w:pPr>
      <w:bookmarkStart w:id="87" w:name="_Toc22884"/>
      <w:bookmarkStart w:id="88" w:name="_Toc15396618"/>
      <w:r>
        <w:rPr>
          <w:rFonts w:hint="eastAsia" w:ascii="黑体" w:hAnsi="黑体" w:eastAsia="黑体"/>
          <w:color w:val="auto"/>
          <w:sz w:val="44"/>
          <w:szCs w:val="44"/>
          <w:highlight w:val="none"/>
        </w:rPr>
        <w:t>第</w:t>
      </w:r>
      <w:r>
        <w:rPr>
          <w:rStyle w:val="28"/>
          <w:rFonts w:hint="eastAsia" w:ascii="黑体" w:hAnsi="黑体" w:eastAsia="黑体"/>
          <w:b w:val="0"/>
          <w:color w:val="auto"/>
          <w:highlight w:val="none"/>
        </w:rPr>
        <w:t>五部分 附表</w:t>
      </w:r>
      <w:bookmarkEnd w:id="75"/>
      <w:bookmarkEnd w:id="87"/>
      <w:bookmarkEnd w:id="88"/>
      <w:bookmarkStart w:id="89" w:name="_Toc15396619"/>
    </w:p>
    <w:p>
      <w:pPr>
        <w:pStyle w:val="5"/>
        <w:rPr>
          <w:rFonts w:ascii="仿宋" w:hAnsi="仿宋" w:eastAsia="仿宋"/>
          <w:color w:val="auto"/>
          <w:highlight w:val="none"/>
        </w:rPr>
      </w:pPr>
      <w:bookmarkStart w:id="90" w:name="_Toc2757"/>
      <w:r>
        <w:rPr>
          <w:rFonts w:hint="eastAsia" w:ascii="仿宋" w:hAnsi="仿宋" w:eastAsia="仿宋"/>
          <w:b w:val="0"/>
          <w:color w:val="auto"/>
          <w:highlight w:val="none"/>
        </w:rPr>
        <w:t>一、收</w:t>
      </w:r>
      <w:r>
        <w:rPr>
          <w:rStyle w:val="29"/>
          <w:rFonts w:hint="eastAsia" w:ascii="仿宋" w:hAnsi="仿宋" w:eastAsia="仿宋"/>
          <w:b w:val="0"/>
          <w:bCs w:val="0"/>
          <w:color w:val="auto"/>
          <w:highlight w:val="none"/>
        </w:rPr>
        <w:t>入支出决算总表</w:t>
      </w:r>
      <w:bookmarkEnd w:id="89"/>
      <w:bookmarkEnd w:id="90"/>
    </w:p>
    <w:p>
      <w:pPr>
        <w:pStyle w:val="5"/>
        <w:rPr>
          <w:rFonts w:ascii="仿宋" w:hAnsi="仿宋" w:eastAsia="仿宋"/>
          <w:color w:val="auto"/>
          <w:highlight w:val="none"/>
        </w:rPr>
      </w:pPr>
      <w:bookmarkStart w:id="91" w:name="_Toc15396620"/>
      <w:bookmarkStart w:id="92" w:name="_Toc29781"/>
      <w:r>
        <w:rPr>
          <w:rFonts w:hint="eastAsia" w:ascii="仿宋" w:hAnsi="仿宋" w:eastAsia="仿宋"/>
          <w:b w:val="0"/>
          <w:color w:val="auto"/>
          <w:highlight w:val="none"/>
        </w:rPr>
        <w:t>二、收</w:t>
      </w:r>
      <w:r>
        <w:rPr>
          <w:rStyle w:val="29"/>
          <w:rFonts w:hint="eastAsia" w:ascii="仿宋" w:hAnsi="仿宋" w:eastAsia="仿宋"/>
          <w:b w:val="0"/>
          <w:bCs w:val="0"/>
          <w:color w:val="auto"/>
          <w:highlight w:val="none"/>
        </w:rPr>
        <w:t>入决算表</w:t>
      </w:r>
      <w:bookmarkEnd w:id="91"/>
      <w:bookmarkEnd w:id="92"/>
    </w:p>
    <w:p>
      <w:pPr>
        <w:pStyle w:val="5"/>
        <w:rPr>
          <w:rFonts w:ascii="仿宋" w:hAnsi="仿宋" w:eastAsia="仿宋"/>
          <w:color w:val="auto"/>
          <w:highlight w:val="none"/>
        </w:rPr>
      </w:pPr>
      <w:bookmarkStart w:id="93" w:name="_Toc32502"/>
      <w:bookmarkStart w:id="94" w:name="_Toc15396621"/>
      <w:r>
        <w:rPr>
          <w:rStyle w:val="29"/>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9"/>
          <w:rFonts w:hint="eastAsia" w:ascii="仿宋" w:hAnsi="仿宋" w:eastAsia="仿宋"/>
          <w:b w:val="0"/>
          <w:bCs w:val="0"/>
          <w:color w:val="auto"/>
          <w:highlight w:val="none"/>
        </w:rPr>
        <w:t>出决算表</w:t>
      </w:r>
      <w:bookmarkEnd w:id="93"/>
      <w:bookmarkEnd w:id="94"/>
    </w:p>
    <w:p>
      <w:pPr>
        <w:pStyle w:val="5"/>
        <w:rPr>
          <w:rFonts w:ascii="仿宋" w:hAnsi="仿宋" w:eastAsia="仿宋"/>
          <w:b w:val="0"/>
          <w:color w:val="auto"/>
          <w:highlight w:val="none"/>
        </w:rPr>
      </w:pPr>
      <w:bookmarkStart w:id="95" w:name="_Toc2005"/>
      <w:bookmarkStart w:id="96" w:name="_Toc15396622"/>
      <w:r>
        <w:rPr>
          <w:rStyle w:val="29"/>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9"/>
          <w:rFonts w:hint="eastAsia" w:ascii="仿宋" w:hAnsi="仿宋" w:eastAsia="仿宋"/>
          <w:b w:val="0"/>
          <w:bCs w:val="0"/>
          <w:color w:val="auto"/>
          <w:highlight w:val="none"/>
        </w:rPr>
        <w:t>政拨款收入支出决算总表</w:t>
      </w:r>
      <w:bookmarkEnd w:id="95"/>
      <w:bookmarkEnd w:id="96"/>
    </w:p>
    <w:p>
      <w:pPr>
        <w:pStyle w:val="5"/>
        <w:rPr>
          <w:rStyle w:val="29"/>
          <w:rFonts w:ascii="仿宋" w:hAnsi="仿宋" w:eastAsia="仿宋"/>
          <w:b w:val="0"/>
          <w:bCs w:val="0"/>
          <w:color w:val="auto"/>
          <w:highlight w:val="none"/>
        </w:rPr>
      </w:pPr>
      <w:bookmarkStart w:id="97" w:name="_Toc14055"/>
      <w:bookmarkStart w:id="98" w:name="_Toc15396623"/>
      <w:r>
        <w:rPr>
          <w:rStyle w:val="29"/>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9"/>
          <w:rFonts w:hint="eastAsia" w:ascii="仿宋" w:hAnsi="仿宋" w:eastAsia="仿宋"/>
          <w:b w:val="0"/>
          <w:bCs w:val="0"/>
          <w:color w:val="auto"/>
          <w:highlight w:val="none"/>
        </w:rPr>
        <w:t>政拨款支出决算明细表</w:t>
      </w:r>
      <w:bookmarkEnd w:id="97"/>
      <w:bookmarkEnd w:id="98"/>
      <w:bookmarkStart w:id="99" w:name="_Toc15396624"/>
    </w:p>
    <w:p>
      <w:pPr>
        <w:pStyle w:val="5"/>
        <w:rPr>
          <w:rFonts w:ascii="仿宋" w:hAnsi="仿宋" w:eastAsia="仿宋"/>
          <w:color w:val="auto"/>
          <w:highlight w:val="none"/>
        </w:rPr>
      </w:pPr>
      <w:bookmarkStart w:id="100" w:name="_Toc16595"/>
      <w:r>
        <w:rPr>
          <w:rStyle w:val="29"/>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般公共预算财政拨款支出决算表</w:t>
      </w:r>
      <w:bookmarkEnd w:id="99"/>
      <w:bookmarkEnd w:id="100"/>
    </w:p>
    <w:p>
      <w:pPr>
        <w:pStyle w:val="5"/>
        <w:rPr>
          <w:rFonts w:ascii="仿宋" w:hAnsi="仿宋" w:eastAsia="仿宋"/>
          <w:color w:val="auto"/>
          <w:highlight w:val="none"/>
        </w:rPr>
      </w:pPr>
      <w:bookmarkStart w:id="101" w:name="_Toc16663"/>
      <w:bookmarkStart w:id="102" w:name="_Toc15396625"/>
      <w:r>
        <w:rPr>
          <w:rStyle w:val="29"/>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般公共预算财政拨款支出决算明细表</w:t>
      </w:r>
      <w:bookmarkEnd w:id="101"/>
      <w:bookmarkEnd w:id="102"/>
    </w:p>
    <w:p>
      <w:pPr>
        <w:pStyle w:val="5"/>
        <w:rPr>
          <w:rFonts w:ascii="仿宋" w:hAnsi="仿宋" w:eastAsia="仿宋"/>
          <w:color w:val="auto"/>
          <w:highlight w:val="none"/>
        </w:rPr>
      </w:pPr>
      <w:bookmarkStart w:id="103" w:name="_Toc15396626"/>
      <w:bookmarkStart w:id="104" w:name="_Toc31712"/>
      <w:r>
        <w:rPr>
          <w:rStyle w:val="29"/>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般公共预算财政拨款基本支出决算表</w:t>
      </w:r>
      <w:bookmarkEnd w:id="103"/>
      <w:bookmarkEnd w:id="104"/>
    </w:p>
    <w:p>
      <w:pPr>
        <w:pStyle w:val="5"/>
        <w:rPr>
          <w:rFonts w:ascii="仿宋" w:hAnsi="仿宋" w:eastAsia="仿宋"/>
          <w:color w:val="auto"/>
          <w:highlight w:val="none"/>
        </w:rPr>
      </w:pPr>
      <w:bookmarkStart w:id="105" w:name="_Toc6077"/>
      <w:bookmarkStart w:id="106" w:name="_Toc15396627"/>
      <w:r>
        <w:rPr>
          <w:rStyle w:val="29"/>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般公共预算财政拨款项目支出决算表</w:t>
      </w:r>
      <w:bookmarkEnd w:id="105"/>
      <w:bookmarkEnd w:id="106"/>
    </w:p>
    <w:p>
      <w:pPr>
        <w:pStyle w:val="5"/>
        <w:rPr>
          <w:rFonts w:ascii="仿宋" w:hAnsi="仿宋" w:eastAsia="仿宋"/>
          <w:color w:val="auto"/>
          <w:highlight w:val="none"/>
        </w:rPr>
      </w:pPr>
      <w:bookmarkStart w:id="107" w:name="_Toc15396628"/>
      <w:bookmarkStart w:id="108" w:name="_Toc8880"/>
      <w:r>
        <w:rPr>
          <w:rStyle w:val="29"/>
          <w:rFonts w:hint="eastAsia" w:ascii="仿宋" w:hAnsi="仿宋" w:eastAsia="仿宋"/>
          <w:b w:val="0"/>
          <w:bCs w:val="0"/>
          <w:color w:val="auto"/>
          <w:highlight w:val="none"/>
        </w:rPr>
        <w:t>十、</w:t>
      </w:r>
      <w:bookmarkEnd w:id="107"/>
      <w:r>
        <w:rPr>
          <w:rFonts w:hint="eastAsia" w:ascii="仿宋" w:hAnsi="仿宋" w:eastAsia="仿宋"/>
          <w:b w:val="0"/>
          <w:color w:val="auto"/>
          <w:highlight w:val="none"/>
        </w:rPr>
        <w:t>政</w:t>
      </w:r>
      <w:r>
        <w:rPr>
          <w:rStyle w:val="29"/>
          <w:rFonts w:hint="eastAsia" w:ascii="仿宋" w:hAnsi="仿宋" w:eastAsia="仿宋"/>
          <w:b w:val="0"/>
          <w:bCs w:val="0"/>
          <w:color w:val="auto"/>
          <w:highlight w:val="none"/>
        </w:rPr>
        <w:t>府性基金预算财政拨款收入支出决算表</w:t>
      </w:r>
      <w:bookmarkEnd w:id="108"/>
    </w:p>
    <w:p>
      <w:pPr>
        <w:pStyle w:val="5"/>
        <w:rPr>
          <w:rFonts w:ascii="仿宋" w:hAnsi="仿宋" w:eastAsia="仿宋"/>
          <w:color w:val="auto"/>
          <w:highlight w:val="none"/>
        </w:rPr>
      </w:pPr>
      <w:bookmarkStart w:id="109" w:name="_Toc15396629"/>
      <w:bookmarkStart w:id="110" w:name="_Toc23717"/>
      <w:r>
        <w:rPr>
          <w:rStyle w:val="29"/>
          <w:rFonts w:hint="eastAsia" w:ascii="仿宋" w:hAnsi="仿宋" w:eastAsia="仿宋"/>
          <w:b w:val="0"/>
          <w:bCs w:val="0"/>
          <w:color w:val="auto"/>
          <w:highlight w:val="none"/>
        </w:rPr>
        <w:t>十一、</w:t>
      </w:r>
      <w:bookmarkEnd w:id="109"/>
      <w:r>
        <w:rPr>
          <w:rFonts w:hint="eastAsia" w:ascii="仿宋" w:hAnsi="仿宋" w:eastAsia="仿宋"/>
          <w:b w:val="0"/>
          <w:color w:val="auto"/>
          <w:highlight w:val="none"/>
        </w:rPr>
        <w:t>国</w:t>
      </w:r>
      <w:r>
        <w:rPr>
          <w:rStyle w:val="29"/>
          <w:rFonts w:hint="eastAsia" w:ascii="仿宋" w:hAnsi="仿宋" w:eastAsia="仿宋"/>
          <w:b w:val="0"/>
          <w:bCs w:val="0"/>
          <w:color w:val="auto"/>
          <w:highlight w:val="none"/>
        </w:rPr>
        <w:t>有资本经营预算</w:t>
      </w:r>
      <w:r>
        <w:rPr>
          <w:rStyle w:val="29"/>
          <w:rFonts w:hint="eastAsia" w:ascii="仿宋" w:hAnsi="仿宋" w:eastAsia="仿宋"/>
          <w:b w:val="0"/>
          <w:bCs w:val="0"/>
          <w:color w:val="auto"/>
          <w:highlight w:val="none"/>
          <w:lang w:eastAsia="zh-CN"/>
        </w:rPr>
        <w:t>财政拨款收入</w:t>
      </w:r>
      <w:r>
        <w:rPr>
          <w:rStyle w:val="29"/>
          <w:rFonts w:hint="eastAsia" w:ascii="仿宋" w:hAnsi="仿宋" w:eastAsia="仿宋"/>
          <w:b w:val="0"/>
          <w:bCs w:val="0"/>
          <w:color w:val="auto"/>
          <w:highlight w:val="none"/>
        </w:rPr>
        <w:t>支出决算表</w:t>
      </w:r>
      <w:bookmarkEnd w:id="110"/>
    </w:p>
    <w:p>
      <w:pPr>
        <w:pStyle w:val="5"/>
        <w:rPr>
          <w:rFonts w:ascii="仿宋" w:hAnsi="仿宋" w:eastAsia="仿宋"/>
          <w:color w:val="auto"/>
          <w:highlight w:val="none"/>
        </w:rPr>
      </w:pPr>
      <w:bookmarkStart w:id="111" w:name="_Toc15396630"/>
      <w:bookmarkStart w:id="112" w:name="_Toc31497"/>
      <w:r>
        <w:rPr>
          <w:rStyle w:val="29"/>
          <w:rFonts w:hint="eastAsia" w:ascii="仿宋" w:hAnsi="仿宋" w:eastAsia="仿宋"/>
          <w:b w:val="0"/>
          <w:bCs w:val="0"/>
          <w:color w:val="auto"/>
          <w:highlight w:val="none"/>
        </w:rPr>
        <w:t>十二、</w:t>
      </w:r>
      <w:bookmarkEnd w:id="111"/>
      <w:r>
        <w:rPr>
          <w:rStyle w:val="29"/>
          <w:rFonts w:hint="eastAsia" w:ascii="仿宋" w:hAnsi="仿宋" w:eastAsia="仿宋"/>
          <w:b w:val="0"/>
          <w:bCs w:val="0"/>
          <w:color w:val="auto"/>
          <w:highlight w:val="none"/>
          <w:lang w:eastAsia="zh-CN"/>
        </w:rPr>
        <w:t>国有资本经营预算财政拨款支出决算表</w:t>
      </w:r>
      <w:bookmarkEnd w:id="112"/>
    </w:p>
    <w:p>
      <w:pPr>
        <w:pStyle w:val="5"/>
        <w:rPr>
          <w:rFonts w:hint="eastAsia" w:eastAsia="仿宋"/>
          <w:color w:val="auto"/>
          <w:highlight w:val="none"/>
          <w:lang w:eastAsia="zh-CN"/>
        </w:rPr>
      </w:pPr>
      <w:bookmarkStart w:id="113" w:name="_Toc15396631"/>
      <w:bookmarkStart w:id="114" w:name="_Toc25862"/>
      <w:r>
        <w:rPr>
          <w:rStyle w:val="29"/>
          <w:rFonts w:hint="eastAsia" w:ascii="仿宋" w:hAnsi="仿宋" w:eastAsia="仿宋"/>
          <w:b w:val="0"/>
          <w:bCs w:val="0"/>
          <w:color w:val="auto"/>
          <w:highlight w:val="none"/>
        </w:rPr>
        <w:t>十三、</w:t>
      </w:r>
      <w:bookmarkEnd w:id="113"/>
      <w:r>
        <w:rPr>
          <w:rStyle w:val="29"/>
          <w:rFonts w:hint="eastAsia" w:ascii="仿宋" w:hAnsi="仿宋" w:eastAsia="仿宋"/>
          <w:b w:val="0"/>
          <w:bCs w:val="0"/>
          <w:color w:val="auto"/>
          <w:highlight w:val="none"/>
          <w:lang w:eastAsia="zh-CN"/>
        </w:rPr>
        <w:t>财政拨款“三公”经费支出决算表</w:t>
      </w:r>
      <w:bookmarkEnd w:id="114"/>
    </w:p>
    <w:sectPr>
      <w:footerReference r:id="rId8" w:type="first"/>
      <w:footerReference r:id="rId7" w:type="default"/>
      <w:pgSz w:w="11906" w:h="16838"/>
      <w:pgMar w:top="1984" w:right="1474" w:bottom="1871" w:left="1587"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2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Times New Roman Regular">
    <w:altName w:val="Times New Roman"/>
    <w:panose1 w:val="02020603050405020304"/>
    <w:charset w:val="00"/>
    <w:family w:val="auto"/>
    <w:pitch w:val="default"/>
    <w:sig w:usb0="00000000" w:usb1="00000000" w:usb2="00000000" w:usb3="00000000" w:csb0="00040001" w:csb1="00000000"/>
  </w:font>
  <w:font w:name="TimesNewRoman">
    <w:altName w:val="Times New Roman"/>
    <w:panose1 w:val="02020603050405020304"/>
    <w:charset w:val="00"/>
    <w:family w:val="auto"/>
    <w:pitch w:val="default"/>
    <w:sig w:usb0="00000000" w:usb1="00000000" w:usb2="00000029" w:usb3="00000000" w:csb0="600001FF" w:csb1="FFFF0000"/>
  </w:font>
  <w:font w:name="经典图案字">
    <w:panose1 w:val="02010609000101010101"/>
    <w:charset w:val="86"/>
    <w:family w:val="auto"/>
    <w:pitch w:val="default"/>
    <w:sig w:usb0="A1007AEF" w:usb1="F9DF7CFB" w:usb2="0000001E" w:usb3="00000000" w:csb0="2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pqK+VMQIAAGM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&#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qaivlTECAABjBAAADgAAAAAAAAABACAAAAA1&#10;AQAAZHJzL2Uyb0RvYy54bWxQSwUGAAAAAAYABgBZAQAA2AUAAAAA&#10;">
              <v:fill on="f" focussize="0,0"/>
              <v:stroke on="f" weight="0.5pt"/>
              <v:imagedata o:title=""/>
              <o:lock v:ext="edit" aspectratio="f"/>
              <v:textbox inset="0mm,0mm,0mm,0mm" style="mso-fit-shape-to-text:t;">
                <w:txbxContent>
                  <w:sdt>
                    <w:sdtPr>
                      <w:id w:val="-1"/>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v:textbox>
            </v:shape>
          </w:pict>
        </mc:Fallback>
      </mc:AlternateContent>
    </w:r>
  </w:p>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6wA4ejECAABjBAAADgAAAAAAAAABACAAAAA1&#10;AQAAZHJzL2Uyb0RvYy54bWxQSwUGAAAAAAYABgBZAQAA2A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3CD0D6"/>
    <w:multiLevelType w:val="singleLevel"/>
    <w:tmpl w:val="CF3CD0D6"/>
    <w:lvl w:ilvl="0" w:tentative="0">
      <w:start w:val="1"/>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DEBEF323"/>
    <w:multiLevelType w:val="singleLevel"/>
    <w:tmpl w:val="DEBEF323"/>
    <w:lvl w:ilvl="0" w:tentative="0">
      <w:start w:val="4"/>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rPr>
    </w:lvl>
  </w:abstractNum>
  <w:abstractNum w:abstractNumId="4">
    <w:nsid w:val="F3903D0D"/>
    <w:multiLevelType w:val="singleLevel"/>
    <w:tmpl w:val="F3903D0D"/>
    <w:lvl w:ilvl="0" w:tentative="0">
      <w:start w:val="4"/>
      <w:numFmt w:val="chineseCounting"/>
      <w:suff w:val="nothing"/>
      <w:lvlText w:val="（%1）"/>
      <w:lvlJc w:val="left"/>
      <w:rPr>
        <w:rFonts w:hint="eastAsia"/>
      </w:rPr>
    </w:lvl>
  </w:abstractNum>
  <w:abstractNum w:abstractNumId="5">
    <w:nsid w:val="FFF674BC"/>
    <w:multiLevelType w:val="singleLevel"/>
    <w:tmpl w:val="FFF674BC"/>
    <w:lvl w:ilvl="0" w:tentative="0">
      <w:start w:val="1"/>
      <w:numFmt w:val="chineseCounting"/>
      <w:suff w:val="nothing"/>
      <w:lvlText w:val="%1、"/>
      <w:lvlJc w:val="left"/>
      <w:rPr>
        <w:rFonts w:hint="eastAsia"/>
      </w:rPr>
    </w:lvl>
  </w:abstractNum>
  <w:abstractNum w:abstractNumId="6">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7">
    <w:nsid w:val="355F6A0A"/>
    <w:multiLevelType w:val="singleLevel"/>
    <w:tmpl w:val="355F6A0A"/>
    <w:lvl w:ilvl="0" w:tentative="0">
      <w:start w:val="1"/>
      <w:numFmt w:val="decimal"/>
      <w:lvlText w:val="%1."/>
      <w:lvlJc w:val="left"/>
      <w:pPr>
        <w:tabs>
          <w:tab w:val="left" w:pos="312"/>
        </w:tabs>
      </w:pPr>
    </w:lvl>
  </w:abstractNum>
  <w:num w:numId="1">
    <w:abstractNumId w:val="6"/>
  </w:num>
  <w:num w:numId="2">
    <w:abstractNumId w:val="7"/>
  </w:num>
  <w:num w:numId="3">
    <w:abstractNumId w:val="1"/>
  </w:num>
  <w:num w:numId="4">
    <w:abstractNumId w:val="3"/>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iZDBiZWViMzllZTA3ZTk4ZTM3ZGY5ODQxZGE5NTU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163BC"/>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5975B8"/>
    <w:rsid w:val="02143E91"/>
    <w:rsid w:val="028F49A3"/>
    <w:rsid w:val="066E0107"/>
    <w:rsid w:val="07996F6E"/>
    <w:rsid w:val="0A2032A3"/>
    <w:rsid w:val="0F98263C"/>
    <w:rsid w:val="101860EC"/>
    <w:rsid w:val="10C055FF"/>
    <w:rsid w:val="118107EC"/>
    <w:rsid w:val="13D50BC4"/>
    <w:rsid w:val="16BB723D"/>
    <w:rsid w:val="1BE8440E"/>
    <w:rsid w:val="1D155CEE"/>
    <w:rsid w:val="1FF35744"/>
    <w:rsid w:val="20392D18"/>
    <w:rsid w:val="23860B96"/>
    <w:rsid w:val="240371BF"/>
    <w:rsid w:val="26727C5E"/>
    <w:rsid w:val="29FD04D3"/>
    <w:rsid w:val="2C8A61B5"/>
    <w:rsid w:val="2DF04E50"/>
    <w:rsid w:val="2F040D46"/>
    <w:rsid w:val="319F7F4E"/>
    <w:rsid w:val="3304709D"/>
    <w:rsid w:val="36584B38"/>
    <w:rsid w:val="36AA5135"/>
    <w:rsid w:val="376D39B2"/>
    <w:rsid w:val="37E16F03"/>
    <w:rsid w:val="387602DD"/>
    <w:rsid w:val="38D469F0"/>
    <w:rsid w:val="3C645F57"/>
    <w:rsid w:val="3D98207C"/>
    <w:rsid w:val="3E78745D"/>
    <w:rsid w:val="44E268DA"/>
    <w:rsid w:val="4A627F82"/>
    <w:rsid w:val="4B0E749A"/>
    <w:rsid w:val="4B4F25DA"/>
    <w:rsid w:val="4BE068DB"/>
    <w:rsid w:val="4D577224"/>
    <w:rsid w:val="4EAB630A"/>
    <w:rsid w:val="4ECE2238"/>
    <w:rsid w:val="537E6D0A"/>
    <w:rsid w:val="559B2FF3"/>
    <w:rsid w:val="5AF92295"/>
    <w:rsid w:val="5CD71FC4"/>
    <w:rsid w:val="6C4A05C8"/>
    <w:rsid w:val="6E7E3605"/>
    <w:rsid w:val="6FF5CC65"/>
    <w:rsid w:val="715C0E4B"/>
    <w:rsid w:val="72734D90"/>
    <w:rsid w:val="73AD73D5"/>
    <w:rsid w:val="73B6EB34"/>
    <w:rsid w:val="744731E5"/>
    <w:rsid w:val="74F63F29"/>
    <w:rsid w:val="76E3355F"/>
    <w:rsid w:val="778769C8"/>
    <w:rsid w:val="78AE1A83"/>
    <w:rsid w:val="79EE5BA4"/>
    <w:rsid w:val="7A894339"/>
    <w:rsid w:val="7CEA52F4"/>
    <w:rsid w:val="7E6F60A9"/>
    <w:rsid w:val="7EEF11D3"/>
    <w:rsid w:val="7FA30C79"/>
    <w:rsid w:val="7FB7269E"/>
    <w:rsid w:val="7FC96657"/>
    <w:rsid w:val="D8D6DB89"/>
    <w:rsid w:val="DB6F4CAB"/>
    <w:rsid w:val="DF6F9789"/>
    <w:rsid w:val="E7672FA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2"/>
    <w:unhideWhenUsed/>
    <w:qFormat/>
    <w:uiPriority w:val="9"/>
    <w:pPr>
      <w:keepNext/>
      <w:keepLines/>
      <w:spacing w:before="260" w:after="260" w:line="416" w:lineRule="auto"/>
      <w:outlineLvl w:val="2"/>
    </w:pPr>
    <w:rPr>
      <w:b/>
      <w:bCs/>
      <w:sz w:val="32"/>
      <w:szCs w:val="32"/>
    </w:rPr>
  </w:style>
  <w:style w:type="character" w:default="1" w:styleId="16">
    <w:name w:val="Default Paragraph Font"/>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5"/>
    <w:qFormat/>
    <w:uiPriority w:val="99"/>
    <w:pPr>
      <w:spacing w:beforeLines="30"/>
    </w:pPr>
    <w:rPr>
      <w:rFonts w:ascii="仿宋_GB2312" w:eastAsia="仿宋_GB2312"/>
      <w:kern w:val="0"/>
      <w:sz w:val="30"/>
    </w:rPr>
  </w:style>
  <w:style w:type="paragraph" w:styleId="3">
    <w:name w:val="index 8"/>
    <w:basedOn w:val="1"/>
    <w:next w:val="1"/>
    <w:qFormat/>
    <w:uiPriority w:val="0"/>
    <w:pPr>
      <w:ind w:left="2940"/>
    </w:pPr>
  </w:style>
  <w:style w:type="paragraph" w:styleId="7">
    <w:name w:val="Body Text Indent"/>
    <w:basedOn w:val="1"/>
    <w:qFormat/>
    <w:uiPriority w:val="0"/>
    <w:pPr>
      <w:spacing w:after="120"/>
      <w:ind w:leftChars="200"/>
    </w:pPr>
    <w:rPr>
      <w:rFonts w:ascii="仿宋_GB2312"/>
      <w:szCs w:val="32"/>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1"/>
    <w:semiHidden/>
    <w:unhideWhenUsed/>
    <w:qFormat/>
    <w:uiPriority w:val="99"/>
    <w:rPr>
      <w:sz w:val="18"/>
      <w:szCs w:val="18"/>
    </w:rPr>
  </w:style>
  <w:style w:type="paragraph" w:styleId="10">
    <w:name w:val="footer"/>
    <w:basedOn w:val="1"/>
    <w:link w:val="23"/>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Body Text First Indent 2"/>
    <w:basedOn w:val="7"/>
    <w:unhideWhenUsed/>
    <w:qFormat/>
    <w:uiPriority w:val="99"/>
    <w:pPr>
      <w:ind w:firstLine="420" w:firstLineChars="200"/>
    </w:p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paragraph" w:customStyle="1" w:styleId="19">
    <w:name w:val="标题 5（有编号）（绿盟科技）"/>
    <w:next w:val="1"/>
    <w:qFormat/>
    <w:uiPriority w:val="99"/>
    <w:pPr>
      <w:keepNext/>
      <w:keepLines/>
      <w:widowControl w:val="0"/>
      <w:spacing w:before="280" w:after="156" w:line="377" w:lineRule="auto"/>
      <w:jc w:val="left"/>
      <w:outlineLvl w:val="4"/>
    </w:pPr>
    <w:rPr>
      <w:rFonts w:ascii="Arial" w:hAnsi="Arial" w:eastAsia="黑体" w:cs="Times New Roman"/>
      <w:b/>
      <w:kern w:val="2"/>
      <w:sz w:val="24"/>
      <w:szCs w:val="28"/>
      <w:lang w:val="en-US" w:eastAsia="zh-CN" w:bidi="ar-SA"/>
    </w:rPr>
  </w:style>
  <w:style w:type="character" w:customStyle="1" w:styleId="20">
    <w:name w:val="Header Char"/>
    <w:basedOn w:val="16"/>
    <w:semiHidden/>
    <w:qFormat/>
    <w:uiPriority w:val="99"/>
    <w:rPr>
      <w:rFonts w:ascii="Times New Roman" w:hAnsi="Times New Roman"/>
      <w:sz w:val="18"/>
      <w:szCs w:val="18"/>
    </w:rPr>
  </w:style>
  <w:style w:type="character" w:customStyle="1" w:styleId="21">
    <w:name w:val="页眉 Char"/>
    <w:link w:val="11"/>
    <w:semiHidden/>
    <w:qFormat/>
    <w:locked/>
    <w:uiPriority w:val="99"/>
    <w:rPr>
      <w:sz w:val="18"/>
    </w:rPr>
  </w:style>
  <w:style w:type="character" w:customStyle="1" w:styleId="22">
    <w:name w:val="Footer Char"/>
    <w:basedOn w:val="16"/>
    <w:semiHidden/>
    <w:qFormat/>
    <w:uiPriority w:val="99"/>
    <w:rPr>
      <w:rFonts w:ascii="Times New Roman" w:hAnsi="Times New Roman"/>
      <w:sz w:val="18"/>
      <w:szCs w:val="18"/>
    </w:rPr>
  </w:style>
  <w:style w:type="character" w:customStyle="1" w:styleId="23">
    <w:name w:val="页脚 Char"/>
    <w:link w:val="10"/>
    <w:qFormat/>
    <w:locked/>
    <w:uiPriority w:val="99"/>
    <w:rPr>
      <w:sz w:val="18"/>
    </w:rPr>
  </w:style>
  <w:style w:type="character" w:customStyle="1" w:styleId="24">
    <w:name w:val="Body Text Char"/>
    <w:basedOn w:val="16"/>
    <w:semiHidden/>
    <w:qFormat/>
    <w:uiPriority w:val="99"/>
    <w:rPr>
      <w:rFonts w:ascii="Times New Roman" w:hAnsi="Times New Roman"/>
      <w:szCs w:val="24"/>
    </w:rPr>
  </w:style>
  <w:style w:type="character" w:customStyle="1" w:styleId="25">
    <w:name w:val="正文文本 Char"/>
    <w:link w:val="2"/>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34"/>
    <w:pPr>
      <w:ind w:firstLine="420" w:firstLineChars="200"/>
    </w:pPr>
  </w:style>
  <w:style w:type="character" w:customStyle="1" w:styleId="28">
    <w:name w:val="标题 1 Char"/>
    <w:basedOn w:val="16"/>
    <w:link w:val="4"/>
    <w:qFormat/>
    <w:uiPriority w:val="9"/>
    <w:rPr>
      <w:rFonts w:ascii="Times New Roman" w:hAnsi="Times New Roman"/>
      <w:b/>
      <w:bCs/>
      <w:kern w:val="44"/>
      <w:sz w:val="44"/>
      <w:szCs w:val="44"/>
    </w:rPr>
  </w:style>
  <w:style w:type="character" w:customStyle="1" w:styleId="29">
    <w:name w:val="标题 2 Char"/>
    <w:basedOn w:val="16"/>
    <w:link w:val="5"/>
    <w:qFormat/>
    <w:uiPriority w:val="9"/>
    <w:rPr>
      <w:rFonts w:asciiTheme="majorHAnsi" w:hAnsiTheme="majorHAnsi" w:eastAsiaTheme="majorEastAsia" w:cstheme="majorBidi"/>
      <w:b/>
      <w:bCs/>
      <w:kern w:val="2"/>
      <w:sz w:val="32"/>
      <w:szCs w:val="32"/>
    </w:rPr>
  </w:style>
  <w:style w:type="paragraph" w:customStyle="1" w:styleId="30">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批注框文本 Char"/>
    <w:basedOn w:val="16"/>
    <w:link w:val="9"/>
    <w:semiHidden/>
    <w:qFormat/>
    <w:uiPriority w:val="99"/>
    <w:rPr>
      <w:rFonts w:ascii="Times New Roman" w:hAnsi="Times New Roman"/>
      <w:kern w:val="2"/>
      <w:sz w:val="18"/>
      <w:szCs w:val="18"/>
    </w:rPr>
  </w:style>
  <w:style w:type="character" w:customStyle="1" w:styleId="32">
    <w:name w:val="标题 3 Char"/>
    <w:basedOn w:val="16"/>
    <w:link w:val="6"/>
    <w:qFormat/>
    <w:uiPriority w:val="9"/>
    <w:rPr>
      <w:rFonts w:ascii="Times New Roman" w:hAnsi="Times New Roman"/>
      <w:b/>
      <w:bCs/>
      <w:kern w:val="2"/>
      <w:sz w:val="32"/>
      <w:szCs w:val="32"/>
    </w:rPr>
  </w:style>
  <w:style w:type="paragraph" w:customStyle="1" w:styleId="33">
    <w:name w:val="TOC Heading"/>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4">
    <w:name w:val="四号正文"/>
    <w:basedOn w:val="1"/>
    <w:qFormat/>
    <w:uiPriority w:val="0"/>
    <w:pPr>
      <w:spacing w:line="360" w:lineRule="auto"/>
    </w:pPr>
    <w:rPr>
      <w:rFonts w:ascii="??" w:hAnsi="??" w:eastAsia="宋体"/>
      <w:color w:val="000000"/>
      <w:kern w:val="0"/>
      <w:sz w:val="28"/>
      <w:szCs w:val="21"/>
      <w:lang w:val="zh-CN" w:eastAsia="zh-CN"/>
    </w:rPr>
  </w:style>
  <w:style w:type="paragraph" w:customStyle="1" w:styleId="35">
    <w:name w:val="WPSOffice手动目录 1"/>
    <w:qFormat/>
    <w:uiPriority w:val="0"/>
    <w:pPr>
      <w:ind w:leftChars="0"/>
    </w:pPr>
    <w:rPr>
      <w:rFonts w:asciiTheme="minorHAnsi" w:hAnsiTheme="minorHAnsi" w:eastAsiaTheme="minorEastAsia" w:cstheme="minorBidi"/>
      <w:sz w:val="20"/>
      <w:szCs w:val="20"/>
    </w:rPr>
  </w:style>
  <w:style w:type="paragraph" w:customStyle="1" w:styleId="36">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chart" Target="charts/chart7.xml"/><Relationship Id="rId15" Type="http://schemas.openxmlformats.org/officeDocument/2006/relationships/chart" Target="charts/chart6.xml"/><Relationship Id="rId14" Type="http://schemas.openxmlformats.org/officeDocument/2006/relationships/chart" Target="charts/chart5.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收入</c:v>
                </c:pt>
                <c:pt idx="1">
                  <c:v>支出</c:v>
                </c:pt>
              </c:strCache>
            </c:strRef>
          </c:cat>
          <c:val>
            <c:numRef>
              <c:f>Sheet1!$B$2:$B$3</c:f>
              <c:numCache>
                <c:formatCode>General</c:formatCode>
                <c:ptCount val="2"/>
                <c:pt idx="0">
                  <c:v>1095.27</c:v>
                </c:pt>
                <c:pt idx="1">
                  <c:v>1095.27</c:v>
                </c:pt>
              </c:numCache>
            </c:numRef>
          </c:val>
        </c:ser>
        <c:ser>
          <c:idx val="1"/>
          <c:order val="1"/>
          <c:tx>
            <c:strRef>
              <c:f>Sheet1!$C$1</c:f>
              <c:strCache>
                <c:ptCount val="1"/>
                <c:pt idx="0">
                  <c:v>2022年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收入</c:v>
                </c:pt>
                <c:pt idx="1">
                  <c:v>支出</c:v>
                </c:pt>
              </c:strCache>
            </c:strRef>
          </c:cat>
          <c:val>
            <c:numRef>
              <c:f>Sheet1!$C$2:$C$3</c:f>
              <c:numCache>
                <c:formatCode>General</c:formatCode>
                <c:ptCount val="2"/>
                <c:pt idx="0">
                  <c:v>742.84</c:v>
                </c:pt>
                <c:pt idx="1">
                  <c:v>742.84</c:v>
                </c:pt>
              </c:numCache>
            </c:numRef>
          </c:val>
        </c:ser>
        <c:dLbls>
          <c:showLegendKey val="0"/>
          <c:showVal val="1"/>
          <c:showCatName val="0"/>
          <c:showSerName val="0"/>
          <c:showPercent val="0"/>
          <c:showBubbleSize val="0"/>
        </c:dLbls>
        <c:gapWidth val="150"/>
        <c:overlap val="-25"/>
        <c:axId val="389442948"/>
        <c:axId val="275801574"/>
      </c:barChart>
      <c:catAx>
        <c:axId val="38944294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5801574"/>
        <c:crosses val="autoZero"/>
        <c:auto val="1"/>
        <c:lblAlgn val="ctr"/>
        <c:lblOffset val="100"/>
        <c:noMultiLvlLbl val="0"/>
      </c:catAx>
      <c:valAx>
        <c:axId val="275801574"/>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9442948"/>
        <c:crosses val="autoZero"/>
        <c:crossBetween val="between"/>
      </c:valAx>
      <c:spPr>
        <a:noFill/>
        <a:ln>
          <a:noFill/>
        </a:ln>
        <a:effectLst/>
      </c:spPr>
    </c:plotArea>
    <c:legend>
      <c:legendPos val="t"/>
      <c:layout>
        <c:manualLayout>
          <c:xMode val="edge"/>
          <c:yMode val="edge"/>
          <c:x val="0.402331481034066"/>
          <c:y val="0.13110922226944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spPr/>
          <c:explosion val="0"/>
          <c:dPt>
            <c:idx val="0"/>
            <c:bubble3D val="0"/>
            <c:spPr>
              <a:solidFill>
                <a:schemeClr val="accent1"/>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一般公共预算财政拨款收入</c:v>
                </c:pt>
              </c:strCache>
            </c:strRef>
          </c:cat>
          <c:val>
            <c:numRef>
              <c:f>Sheet1!$B$2</c:f>
              <c:numCache>
                <c:formatCode>General</c:formatCode>
                <c:ptCount val="1"/>
                <c:pt idx="0">
                  <c:v>692.9</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支出金额</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dLbl>
              <c:idx val="0"/>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417.72</c:v>
                </c:pt>
                <c:pt idx="1">
                  <c:v>307.53</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财政拨款收入</c:v>
                </c:pt>
                <c:pt idx="1">
                  <c:v>财政拨款支出</c:v>
                </c:pt>
              </c:strCache>
            </c:strRef>
          </c:cat>
          <c:val>
            <c:numRef>
              <c:f>Sheet1!$B$2:$B$3</c:f>
              <c:numCache>
                <c:formatCode>General</c:formatCode>
                <c:ptCount val="2"/>
                <c:pt idx="0">
                  <c:v>1095.27</c:v>
                </c:pt>
                <c:pt idx="1">
                  <c:v>1095.27</c:v>
                </c:pt>
              </c:numCache>
            </c:numRef>
          </c:val>
        </c:ser>
        <c:ser>
          <c:idx val="1"/>
          <c:order val="1"/>
          <c:tx>
            <c:strRef>
              <c:f>Sheet1!$C$1</c:f>
              <c:strCache>
                <c:ptCount val="1"/>
                <c:pt idx="0">
                  <c:v>2022年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财政拨款收入</c:v>
                </c:pt>
                <c:pt idx="1">
                  <c:v>财政拨款支出</c:v>
                </c:pt>
              </c:strCache>
            </c:strRef>
          </c:cat>
          <c:val>
            <c:numRef>
              <c:f>Sheet1!$C$2:$C$3</c:f>
              <c:numCache>
                <c:formatCode>General</c:formatCode>
                <c:ptCount val="2"/>
                <c:pt idx="0">
                  <c:v>742.84</c:v>
                </c:pt>
                <c:pt idx="1">
                  <c:v>742.84</c:v>
                </c:pt>
              </c:numCache>
            </c:numRef>
          </c:val>
        </c:ser>
        <c:ser>
          <c:idx val="2"/>
          <c:order val="2"/>
          <c:tx>
            <c:strRef>
              <c:f>Sheet1!#REF!</c:f>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财政拨款收入</c:v>
                </c:pt>
                <c:pt idx="1">
                  <c:v>财政拨款支出</c:v>
                </c:pt>
              </c:strCache>
            </c:strRef>
          </c:cat>
          <c:val>
            <c:numRef>
              <c:f>Sheet1!#REF!</c:f>
              <c:numCache>
                <c:formatCode>General</c:formatCode>
                <c:ptCount val="1"/>
                <c:pt idx="0">
                  <c:v>1</c:v>
                </c:pt>
              </c:numCache>
            </c:numRef>
          </c:val>
        </c:ser>
        <c:dLbls>
          <c:showLegendKey val="0"/>
          <c:showVal val="1"/>
          <c:showCatName val="0"/>
          <c:showSerName val="0"/>
          <c:showPercent val="0"/>
          <c:showBubbleSize val="0"/>
        </c:dLbls>
        <c:gapWidth val="75"/>
        <c:overlap val="0"/>
        <c:axId val="318936018"/>
        <c:axId val="325444301"/>
      </c:barChart>
      <c:catAx>
        <c:axId val="31893601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5444301"/>
        <c:crosses val="autoZero"/>
        <c:auto val="1"/>
        <c:lblAlgn val="ctr"/>
        <c:lblOffset val="100"/>
        <c:noMultiLvlLbl val="0"/>
      </c:catAx>
      <c:valAx>
        <c:axId val="325444301"/>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8936018"/>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
        <c:rich>
          <a:bodyPr/>
          <a:lstStyle/>
          <a:p>
            <a:pPr>
              <a:defRPr/>
            </a:pPr>
          </a:p>
        </c:rich>
      </c:tx>
    </c:title>
    <c:autoTitleDeleted val="0"/>
    <c:plotArea>
      <c:layout>
        <c:manualLayout>
          <c:layoutTarget val="inner"/>
          <c:xMode val="edge"/>
          <c:yMode val="edge"/>
          <c:x val="0.0576950954336796"/>
          <c:y val="0.158521036974076"/>
          <c:w val="0.809422565837159"/>
          <c:h val="0.781640458988525"/>
        </c:manualLayout>
      </c:layout>
      <c:barChart>
        <c:barDir val="col"/>
        <c:grouping val="clustered"/>
        <c:varyColors val="0"/>
        <c:ser>
          <c:idx val="0"/>
          <c:order val="0"/>
          <c:tx>
            <c:strRef>
              <c:f>Sheet1!$B$1</c:f>
              <c:strCache>
                <c:ptCount val="1"/>
                <c:pt idx="0">
                  <c:v>财政拨款支出</c:v>
                </c:pt>
              </c:strCache>
            </c:strRef>
          </c:tx>
          <c:spPr>
            <a:solidFill>
              <a:schemeClr val="accent1"/>
            </a:solidFill>
            <a:ln>
              <a:noFill/>
            </a:ln>
            <a:effectLst/>
          </c:spPr>
          <c:invertIfNegative val="0"/>
          <c:dLbls>
            <c:delete val="1"/>
          </c:dLbls>
          <c:cat>
            <c:strRef>
              <c:f>Sheet1!$A$2:$A$3</c:f>
              <c:strCache>
                <c:ptCount val="2"/>
                <c:pt idx="0">
                  <c:v>2021年</c:v>
                </c:pt>
                <c:pt idx="1">
                  <c:v>2022年</c:v>
                </c:pt>
              </c:strCache>
            </c:strRef>
          </c:cat>
          <c:val>
            <c:numRef>
              <c:f>Sheet1!$B$2:$B$3</c:f>
              <c:numCache>
                <c:formatCode>General</c:formatCode>
                <c:ptCount val="2"/>
                <c:pt idx="0">
                  <c:v>1020.3</c:v>
                </c:pt>
                <c:pt idx="1">
                  <c:v>725.25</c:v>
                </c:pt>
              </c:numCache>
            </c:numRef>
          </c:val>
        </c:ser>
        <c:dLbls>
          <c:showLegendKey val="0"/>
          <c:showVal val="0"/>
          <c:showCatName val="0"/>
          <c:showSerName val="0"/>
          <c:showPercent val="0"/>
          <c:showBubbleSize val="0"/>
        </c:dLbls>
        <c:gapWidth val="150"/>
        <c:overlap val="0"/>
        <c:axId val="41671223"/>
        <c:axId val="131920135"/>
      </c:barChart>
      <c:catAx>
        <c:axId val="41671223"/>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1920135"/>
        <c:crosses val="autoZero"/>
        <c:auto val="1"/>
        <c:lblAlgn val="ctr"/>
        <c:lblOffset val="100"/>
        <c:noMultiLvlLbl val="0"/>
      </c:catAx>
      <c:valAx>
        <c:axId val="131920135"/>
        <c:scaling>
          <c:orientation val="minMax"/>
        </c:scaling>
        <c:delete val="0"/>
        <c:axPos val="l"/>
        <c:majorGridlines>
          <c:spPr>
            <a:ln w="9525" cap="flat" cmpd="sng" algn="ctr">
              <a:solidFill>
                <a:schemeClr val="bg1">
                  <a:lumMod val="902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671223"/>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Lbls>
            <c:dLbl>
              <c:idx val="0"/>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2"/>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3"/>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4"/>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一般公共服务支出</c:v>
                </c:pt>
                <c:pt idx="1">
                  <c:v>社会保障和就业支出</c:v>
                </c:pt>
                <c:pt idx="2">
                  <c:v>卫生健康支出</c:v>
                </c:pt>
                <c:pt idx="3">
                  <c:v>住房保障支出</c:v>
                </c:pt>
              </c:strCache>
            </c:strRef>
          </c:cat>
          <c:val>
            <c:numRef>
              <c:f>Sheet1!$B$2:$B$5</c:f>
              <c:numCache>
                <c:formatCode>General</c:formatCode>
                <c:ptCount val="4"/>
                <c:pt idx="0">
                  <c:v>650.63</c:v>
                </c:pt>
                <c:pt idx="1">
                  <c:v>72.7</c:v>
                </c:pt>
                <c:pt idx="2">
                  <c:v>17.64</c:v>
                </c:pt>
                <c:pt idx="3">
                  <c:v>29.27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“三公”经费财政拨款支出结构</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因公出国（境）费</c:v>
                </c:pt>
                <c:pt idx="1">
                  <c:v>公务用车购置及运行维护费</c:v>
                </c:pt>
                <c:pt idx="2">
                  <c:v>公务接待费</c:v>
                </c:pt>
              </c:strCache>
            </c:strRef>
          </c:cat>
          <c:val>
            <c:numRef>
              <c:f>Sheet1!$B$2:$B$4</c:f>
              <c:numCache>
                <c:formatCode>General</c:formatCode>
                <c:ptCount val="3"/>
                <c:pt idx="0">
                  <c:v>0</c:v>
                </c:pt>
                <c:pt idx="1">
                  <c:v>7.7</c:v>
                </c:pt>
                <c:pt idx="2">
                  <c:v>1.2</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084">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cs:styleClr val="auto"/>
    </cs:fontRef>
    <cs:defRPr sz="1000" b="1" i="0" u="none" strike="noStrike" kern="1200" spc="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084">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cs:styleClr val="auto"/>
    </cs:fontRef>
    <cs:defRPr sz="1000" b="1" i="0" u="none" strike="noStrike" kern="1200" spc="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12</TotalTime>
  <ScaleCrop>false</ScaleCrop>
  <LinksUpToDate>false</LinksUpToDate>
  <CharactersWithSpaces>8692</CharactersWithSpaces>
  <Application>WPS Office_11.8.2.1122_F1E327BC-269C-435d-A152-05C5408002CA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王杰</cp:lastModifiedBy>
  <cp:lastPrinted>2023-07-31T10:35:00Z</cp:lastPrinted>
  <dcterms:modified xsi:type="dcterms:W3CDTF">2023-12-22T14:45:10Z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2052-11.8.2.1122</vt:lpwstr>
  </property>
  <property fmtid="{D5CDD505-2E9C-101B-9397-08002B2CF9AE}" pid="3" name="ICV">
    <vt:lpwstr>890C28EDF7EA48CB940EEFCAD2DBFF04_12</vt:lpwstr>
  </property>
</Properties>
</file>