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方正颜宋简体_中" w:hAnsi="方正颜宋简体_中" w:eastAsia="方正颜宋简体_中" w:cs="方正颜宋简体_中"/>
          <w:color w:val="231F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4"/>
          <w:szCs w:val="44"/>
          <w:lang w:val="en-US" w:eastAsia="zh-CN" w:bidi="ar"/>
        </w:rPr>
        <w:t>法治帐图设计制作要求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  <w:t>一、绘制说明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1.以本单位“三定方案”为依据确定单位岗位，以岗位设置为基础全面梳理法律法规和规章，建立局领导、局机关各科室、各直属单位履职所需的法律依据总台账。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2.突出法律依据、法定事项、法定程序、法定时限和法律责任，绘制所有岗位履职所需法律要求的法治导图。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3.根据部门职能职责变化，实时更新调整法治账图相关内容。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  <w:t>二、绘制工具要求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sz w:val="20"/>
          <w:szCs w:val="22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说明：法治账图是法律和业务的集成，内容丰富，事项复杂。绘制账图需选择使用思维导图系列软件绘制，一是根据内容思考特征和思考层次；二是框体线型丰富，通过对线条、图形、颜色的运用，将不同的内容进行连接，有助于明晰事物之间的内在联系，逻辑关系更加清晰明确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三是便于编辑和后期修改，为避免后期修改、整理、维护时增加工作量，要求需使用MIND MASTRE,亿图脑图逻辑导图软件，结合平面设计软件Adobe Photoshop、CorelDRAW、Adobe lllustrator（任意一款）进行绘制。</w:t>
      </w:r>
    </w:p>
    <w:p>
      <w:pPr>
        <w:rPr>
          <w:sz w:val="20"/>
          <w:szCs w:val="22"/>
        </w:rPr>
      </w:pPr>
      <w:r>
        <w:rPr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173355</wp:posOffset>
            </wp:positionV>
            <wp:extent cx="5262245" cy="2014220"/>
            <wp:effectExtent l="0" t="0" r="10795" b="1270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rPr>
          <w:sz w:val="20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31F20"/>
          <w:kern w:val="0"/>
          <w:sz w:val="32"/>
          <w:szCs w:val="32"/>
          <w:lang w:val="en-US" w:eastAsia="zh-CN" w:bidi="ar"/>
        </w:rPr>
        <w:t>三、制作要求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账图制作按照文件下发的统一规范、系统高效、做到于法依据、框架合理、内容精准、务实管用。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统一使用命名、汇集内容包含（前言、目录、单位法治台账、单位法治总导图、内设机构法治分台账、内设机构法治分导图、岗位法治分台账、岗位法治分导图。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231F20"/>
          <w:kern w:val="0"/>
          <w:sz w:val="32"/>
          <w:szCs w:val="32"/>
          <w:lang w:val="en-US" w:eastAsia="zh-CN" w:bidi="ar"/>
        </w:rPr>
        <w:t>图文统一设计，简洁美观，字体大小需按要求、分层次、绘制，美观得体不得过意浮夸、艳丽和畸形。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颜宋简体_中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zRkNzE4Mzk0OGU4ZGMyMmE3ZDkxY2IzNzY4MDMifQ=="/>
  </w:docVars>
  <w:rsids>
    <w:rsidRoot w:val="00000000"/>
    <w:rsid w:val="0E342E47"/>
    <w:rsid w:val="1BEDDDC2"/>
    <w:rsid w:val="26FDE495"/>
    <w:rsid w:val="3D9E2D67"/>
    <w:rsid w:val="71EFC785"/>
    <w:rsid w:val="7CC033BB"/>
    <w:rsid w:val="7DDF274D"/>
    <w:rsid w:val="7FEFBA20"/>
    <w:rsid w:val="7FFEC60A"/>
    <w:rsid w:val="DDDE9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414</Characters>
  <Lines>0</Lines>
  <Paragraphs>0</Paragraphs>
  <TotalTime>1</TotalTime>
  <ScaleCrop>false</ScaleCrop>
  <LinksUpToDate>false</LinksUpToDate>
  <CharactersWithSpaces>419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2023-05-27T10:57:00Z</dcterms:created>
  <dc:creator>Administrator</dc:creator>
  <cp:lastModifiedBy>王杰</cp:lastModifiedBy>
  <cp:lastPrinted>2023-06-06T01:53:00Z</cp:lastPrinted>
  <dcterms:modified xsi:type="dcterms:W3CDTF">2023-06-08T09:22:06Z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BB14754AC8444AF7B80C5D5936835AF8_12</vt:lpwstr>
  </property>
</Properties>
</file>