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w w:val="90"/>
          <w:sz w:val="44"/>
          <w:szCs w:val="44"/>
        </w:rPr>
      </w:pPr>
      <w:bookmarkStart w:id="0" w:name="_GoBack"/>
      <w:r>
        <w:rPr>
          <w:rFonts w:ascii="Times New Roman" w:hAnsi="方正小标宋简体" w:eastAsia="方正小标宋简体"/>
          <w:sz w:val="44"/>
          <w:szCs w:val="44"/>
        </w:rPr>
        <w:t>巴中市市级公共资源交易监管权责清单</w:t>
      </w:r>
    </w:p>
    <w:bookmarkEnd w:id="0"/>
    <w:p>
      <w:pPr>
        <w:pStyle w:val="6"/>
        <w:pBdr>
          <w:top w:val="none" w:color="auto" w:sz="0" w:space="0"/>
          <w:left w:val="none" w:color="auto" w:sz="0" w:space="0"/>
          <w:bottom w:val="none" w:color="auto" w:sz="0" w:space="0"/>
          <w:right w:val="none" w:color="auto" w:sz="0" w:space="0"/>
        </w:pBdr>
        <w:jc w:val="center"/>
        <w:rPr>
          <w:rFonts w:ascii="Times New Roman" w:hAnsi="Times New Roman" w:eastAsia="方正小标宋简体"/>
          <w:w w:val="90"/>
          <w:sz w:val="44"/>
          <w:szCs w:val="44"/>
        </w:rPr>
      </w:pPr>
    </w:p>
    <w:p>
      <w:pPr>
        <w:pStyle w:val="6"/>
        <w:pBdr>
          <w:top w:val="none" w:color="auto" w:sz="0" w:space="0"/>
          <w:left w:val="none" w:color="auto" w:sz="0" w:space="0"/>
          <w:bottom w:val="none" w:color="auto" w:sz="0" w:space="0"/>
          <w:right w:val="none" w:color="auto" w:sz="0" w:space="0"/>
        </w:pBdr>
        <w:jc w:val="center"/>
        <w:rPr>
          <w:rFonts w:ascii="Times New Roman" w:hAnsi="Times New Roman" w:eastAsia="黑体"/>
          <w:sz w:val="32"/>
          <w:szCs w:val="32"/>
        </w:rPr>
      </w:pPr>
      <w:r>
        <w:rPr>
          <w:rFonts w:ascii="Times New Roman" w:hAnsi="黑体" w:eastAsia="黑体"/>
          <w:sz w:val="32"/>
          <w:szCs w:val="32"/>
        </w:rPr>
        <w:t>目</w:t>
      </w:r>
      <w:r>
        <w:rPr>
          <w:rFonts w:hint="eastAsia" w:ascii="Times New Roman" w:hAnsi="黑体" w:eastAsia="黑体"/>
          <w:sz w:val="32"/>
          <w:szCs w:val="32"/>
        </w:rPr>
        <w:t xml:space="preserve">  </w:t>
      </w:r>
      <w:r>
        <w:rPr>
          <w:rFonts w:ascii="Times New Roman" w:hAnsi="黑体" w:eastAsia="黑体"/>
          <w:sz w:val="32"/>
          <w:szCs w:val="32"/>
        </w:rPr>
        <w:t>录</w:t>
      </w:r>
    </w:p>
    <w:p>
      <w:pPr>
        <w:pStyle w:val="6"/>
        <w:pBdr>
          <w:top w:val="none" w:color="auto" w:sz="0" w:space="0"/>
          <w:left w:val="none" w:color="auto" w:sz="0" w:space="0"/>
          <w:bottom w:val="none" w:color="auto" w:sz="0" w:space="0"/>
          <w:right w:val="none" w:color="auto" w:sz="0" w:space="0"/>
        </w:pBdr>
        <w:jc w:val="center"/>
        <w:rPr>
          <w:rFonts w:ascii="Times New Roman" w:hAnsi="Times New Roman" w:eastAsia="黑体"/>
          <w:sz w:val="32"/>
          <w:szCs w:val="32"/>
        </w:rPr>
      </w:pP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巴中市发展和改革委员会··············································4</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巴中市财政局····························································21</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巴中市自然资源和规划局·············································50</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巴中市住房和城乡建设局·············································68</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巴中市综合行政执法局················································69</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巴中市交通运输局······················································89</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巴中市水利局··························································119</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巴中市生态环境局····················································130</w:t>
      </w:r>
    </w:p>
    <w:p>
      <w:pPr>
        <w:pStyle w:val="13"/>
        <w:numPr>
          <w:ilvl w:val="0"/>
          <w:numId w:val="1"/>
        </w:numPr>
        <w:ind w:firstLineChars="0"/>
        <w:jc w:val="left"/>
        <w:rPr>
          <w:rFonts w:ascii="Times New Roman" w:hAnsi="Times New Roman" w:eastAsia="仿宋_GB2312"/>
          <w:sz w:val="28"/>
          <w:szCs w:val="28"/>
        </w:rPr>
      </w:pPr>
      <w:r>
        <w:rPr>
          <w:rFonts w:ascii="Times New Roman" w:hAnsi="Times New Roman" w:eastAsia="仿宋_GB2312"/>
          <w:sz w:val="28"/>
          <w:szCs w:val="28"/>
        </w:rPr>
        <w:t>巴中市医疗保障局····················································132</w:t>
      </w: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jc w:val="center"/>
        <w:rPr>
          <w:rFonts w:ascii="Times New Roman" w:hAnsi="Times New Roman" w:eastAsia="方正小标宋简体"/>
          <w:sz w:val="44"/>
          <w:szCs w:val="44"/>
        </w:rPr>
      </w:pPr>
    </w:p>
    <w:p>
      <w:pPr>
        <w:pStyle w:val="6"/>
        <w:rPr>
          <w:rFonts w:ascii="Times New Roman" w:hAnsi="Times New Roman" w:eastAsia="方正小标宋简体"/>
          <w:sz w:val="44"/>
          <w:szCs w:val="44"/>
        </w:rPr>
      </w:pPr>
    </w:p>
    <w:p>
      <w:pPr>
        <w:pStyle w:val="6"/>
        <w:rPr>
          <w:rFonts w:ascii="Times New Roman" w:hAnsi="Times New Roman" w:eastAsia="方正小标宋简体"/>
          <w:sz w:val="44"/>
          <w:szCs w:val="44"/>
        </w:rPr>
      </w:pPr>
    </w:p>
    <w:p>
      <w:pPr>
        <w:jc w:val="center"/>
        <w:rPr>
          <w:rFonts w:ascii="Times New Roman" w:hAnsi="Times New Roman" w:eastAsia="方正小标宋简体"/>
          <w:sz w:val="44"/>
          <w:szCs w:val="44"/>
        </w:rPr>
        <w:sectPr>
          <w:footerReference r:id="rId3" w:type="default"/>
          <w:pgSz w:w="11906" w:h="16838"/>
          <w:pgMar w:top="1440" w:right="1800" w:bottom="1440" w:left="1800" w:header="851" w:footer="992" w:gutter="0"/>
          <w:pgNumType w:start="3"/>
          <w:cols w:space="720" w:num="1"/>
          <w:docGrid w:type="lines" w:linePitch="312" w:charSpace="0"/>
        </w:sectPr>
      </w:pPr>
    </w:p>
    <w:p>
      <w:pPr>
        <w:jc w:val="center"/>
        <w:rPr>
          <w:rFonts w:ascii="Times New Roman" w:hAnsi="Times New Roman" w:eastAsia="方正小标宋简体"/>
          <w:sz w:val="44"/>
          <w:szCs w:val="44"/>
        </w:rPr>
      </w:pPr>
      <w:r>
        <w:rPr>
          <w:rFonts w:ascii="Times New Roman" w:hAnsi="方正小标宋简体" w:eastAsia="方正小标宋简体"/>
          <w:sz w:val="44"/>
          <w:szCs w:val="44"/>
        </w:rPr>
        <w:t>巴中市市级公共资源交易监管权责清单</w:t>
      </w:r>
    </w:p>
    <w:p>
      <w:pPr>
        <w:numPr>
          <w:ilvl w:val="0"/>
          <w:numId w:val="2"/>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巴中市发展和改革委员会</w:t>
      </w:r>
    </w:p>
    <w:tbl>
      <w:tblPr>
        <w:tblStyle w:val="11"/>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543"/>
        <w:gridCol w:w="966"/>
        <w:gridCol w:w="899"/>
        <w:gridCol w:w="959"/>
        <w:gridCol w:w="2371"/>
        <w:gridCol w:w="1116"/>
        <w:gridCol w:w="2819"/>
        <w:gridCol w:w="462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167" w:type="pct"/>
            <w:vMerge w:val="restar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72" w:type="pct"/>
            <w:vMerge w:val="restar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895" w:type="pct"/>
            <w:gridSpan w:val="3"/>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764" w:type="pct"/>
            <w:gridSpan w:val="5"/>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67" w:type="pct"/>
            <w:vMerge w:val="continue"/>
          </w:tcPr>
          <w:p>
            <w:pPr>
              <w:rPr>
                <w:rFonts w:ascii="Times New Roman" w:hAnsi="Times New Roman" w:eastAsia="方正小标宋简体"/>
                <w:sz w:val="16"/>
                <w:szCs w:val="16"/>
              </w:rPr>
            </w:pPr>
          </w:p>
        </w:tc>
        <w:tc>
          <w:tcPr>
            <w:tcW w:w="172" w:type="pct"/>
            <w:vMerge w:val="continue"/>
          </w:tcPr>
          <w:p>
            <w:pPr>
              <w:rPr>
                <w:rFonts w:ascii="Times New Roman" w:hAnsi="Times New Roman" w:eastAsia="方正小标宋简体"/>
                <w:sz w:val="16"/>
                <w:szCs w:val="16"/>
              </w:rPr>
            </w:pPr>
          </w:p>
        </w:tc>
        <w:tc>
          <w:tcPr>
            <w:tcW w:w="306"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285"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302"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752"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354"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94"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467"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94" w:type="pct"/>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7"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立案责任：发现招标人涉嫌规避招标行为的，予以审查，决定是否立案。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color w:val="000000"/>
                <w:kern w:val="0"/>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continue"/>
            <w:vAlign w:val="center"/>
          </w:tcPr>
          <w:p>
            <w:pPr>
              <w:spacing w:line="240" w:lineRule="exact"/>
              <w:jc w:val="center"/>
              <w:rPr>
                <w:rFonts w:ascii="Times New Roman" w:hAnsi="Times New Roman" w:eastAsia="方正仿宋_GBK"/>
                <w:sz w:val="18"/>
                <w:szCs w:val="18"/>
              </w:rPr>
            </w:pPr>
          </w:p>
        </w:tc>
        <w:tc>
          <w:tcPr>
            <w:tcW w:w="354" w:type="pct"/>
            <w:vMerge w:val="continue"/>
            <w:vAlign w:val="center"/>
          </w:tcPr>
          <w:p>
            <w:pPr>
              <w:spacing w:line="240" w:lineRule="exact"/>
              <w:jc w:val="center"/>
              <w:rPr>
                <w:rFonts w:ascii="Times New Roman" w:hAnsi="Times New Roman" w:eastAsia="方正仿宋_GBK"/>
                <w:sz w:val="18"/>
                <w:szCs w:val="18"/>
              </w:rPr>
            </w:pPr>
          </w:p>
        </w:tc>
        <w:tc>
          <w:tcPr>
            <w:tcW w:w="894" w:type="pct"/>
            <w:vMerge w:val="continue"/>
            <w:vAlign w:val="center"/>
          </w:tcPr>
          <w:p>
            <w:pPr>
              <w:spacing w:line="240" w:lineRule="exact"/>
              <w:jc w:val="center"/>
              <w:rPr>
                <w:rFonts w:ascii="Times New Roman" w:hAnsi="Times New Roman" w:eastAsia="方正仿宋_GBK"/>
                <w:sz w:val="18"/>
                <w:szCs w:val="18"/>
              </w:rPr>
            </w:pPr>
          </w:p>
        </w:tc>
        <w:tc>
          <w:tcPr>
            <w:tcW w:w="1467" w:type="pct"/>
            <w:vMerge w:val="continue"/>
            <w:vAlign w:val="center"/>
          </w:tcPr>
          <w:p>
            <w:pPr>
              <w:spacing w:line="240" w:lineRule="exact"/>
              <w:jc w:val="center"/>
              <w:rPr>
                <w:rFonts w:ascii="Times New Roman" w:hAnsi="Times New Roman" w:eastAsia="方正仿宋_GBK"/>
                <w:sz w:val="18"/>
                <w:szCs w:val="18"/>
              </w:rPr>
            </w:pPr>
          </w:p>
        </w:tc>
        <w:tc>
          <w:tcPr>
            <w:tcW w:w="294" w:type="pct"/>
            <w:vMerge w:val="continue"/>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4"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立案责任：发现法律法规未明确规定行政监督部门的工程建设项目招标人涉嫌以不合理的条件限制或者排斥潜在投标人行为的，予以审查，决定是否立案。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r>
              <w:rPr>
                <w:rFonts w:ascii="Times New Roman" w:hAnsi="Times New Roman" w:eastAsia="方正仿宋_GBK"/>
                <w:sz w:val="18"/>
                <w:szCs w:val="18"/>
              </w:rPr>
              <w:br w:type="textWrapping"/>
            </w: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r>
              <w:rPr>
                <w:rFonts w:ascii="Times New Roman" w:hAnsi="Times New Roman" w:eastAsia="方正仿宋_GBK"/>
                <w:sz w:val="18"/>
                <w:szCs w:val="18"/>
              </w:rPr>
              <w:br w:type="textWrapping"/>
            </w: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r>
              <w:rPr>
                <w:rFonts w:ascii="Times New Roman" w:hAnsi="Times New Roman" w:eastAsia="方正仿宋_GBK"/>
                <w:sz w:val="18"/>
                <w:szCs w:val="18"/>
              </w:rPr>
              <w:br w:type="textWrapping"/>
            </w: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r>
              <w:rPr>
                <w:rFonts w:ascii="Times New Roman" w:hAnsi="Times New Roman" w:eastAsia="方正仿宋_GBK"/>
                <w:sz w:val="18"/>
                <w:szCs w:val="18"/>
              </w:rPr>
              <w:br w:type="textWrapping"/>
            </w: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r>
              <w:rPr>
                <w:rFonts w:ascii="Times New Roman" w:hAnsi="Times New Roman" w:eastAsia="方正仿宋_GBK"/>
                <w:sz w:val="18"/>
                <w:szCs w:val="18"/>
              </w:rPr>
              <w:br w:type="textWrapping"/>
            </w: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r>
              <w:rPr>
                <w:rFonts w:ascii="Times New Roman" w:hAnsi="Times New Roman" w:eastAsia="方正仿宋_GBK"/>
                <w:sz w:val="18"/>
                <w:szCs w:val="18"/>
              </w:rPr>
              <w:br w:type="textWrapping"/>
            </w: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r>
              <w:rPr>
                <w:rFonts w:ascii="Times New Roman" w:hAnsi="Times New Roman" w:eastAsia="方正仿宋_GBK"/>
                <w:sz w:val="18"/>
                <w:szCs w:val="18"/>
              </w:rPr>
              <w:br w:type="textWrapping"/>
            </w: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r>
              <w:rPr>
                <w:rFonts w:ascii="Times New Roman" w:hAnsi="Times New Roman" w:eastAsia="方正仿宋_GBK"/>
                <w:sz w:val="18"/>
                <w:szCs w:val="18"/>
              </w:rPr>
              <w:br w:type="textWrapping"/>
            </w: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r>
              <w:rPr>
                <w:rFonts w:ascii="Times New Roman" w:hAnsi="Times New Roman" w:eastAsia="方正仿宋_GBK"/>
                <w:sz w:val="18"/>
                <w:szCs w:val="18"/>
              </w:rPr>
              <w:br w:type="textWrapping"/>
            </w: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r>
              <w:rPr>
                <w:rFonts w:ascii="Times New Roman" w:hAnsi="Times New Roman" w:eastAsia="方正仿宋_GBK"/>
                <w:sz w:val="18"/>
                <w:szCs w:val="18"/>
              </w:rPr>
              <w:br w:type="textWrapping"/>
            </w: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r>
              <w:rPr>
                <w:rFonts w:ascii="Times New Roman" w:hAnsi="Times New Roman" w:eastAsia="方正仿宋_GBK"/>
                <w:sz w:val="18"/>
                <w:szCs w:val="18"/>
              </w:rPr>
              <w:br w:type="textWrapping"/>
            </w: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r>
              <w:rPr>
                <w:rFonts w:ascii="Times New Roman" w:hAnsi="Times New Roman" w:eastAsia="方正仿宋_GBK"/>
                <w:sz w:val="18"/>
                <w:szCs w:val="18"/>
              </w:rPr>
              <w:br w:type="textWrapping"/>
            </w: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r>
              <w:rPr>
                <w:rFonts w:ascii="Times New Roman" w:hAnsi="Times New Roman" w:eastAsia="方正仿宋_GBK"/>
                <w:sz w:val="18"/>
                <w:szCs w:val="18"/>
              </w:rPr>
              <w:br w:type="textWrapping"/>
            </w: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r>
              <w:rPr>
                <w:rFonts w:ascii="Times New Roman" w:hAnsi="Times New Roman" w:eastAsia="方正仿宋_GBK"/>
                <w:sz w:val="18"/>
                <w:szCs w:val="18"/>
              </w:rPr>
              <w:br w:type="textWrapping"/>
            </w: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r>
              <w:rPr>
                <w:rFonts w:ascii="Times New Roman" w:hAnsi="Times New Roman" w:eastAsia="方正仿宋_GBK"/>
                <w:sz w:val="18"/>
                <w:szCs w:val="18"/>
              </w:rPr>
              <w:br w:type="textWrapping"/>
            </w: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r>
              <w:rPr>
                <w:rFonts w:ascii="Times New Roman" w:hAnsi="Times New Roman" w:eastAsia="方正仿宋_GBK"/>
                <w:sz w:val="18"/>
                <w:szCs w:val="18"/>
              </w:rPr>
              <w:br w:type="textWrapping"/>
            </w: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continue"/>
            <w:vAlign w:val="center"/>
          </w:tcPr>
          <w:p>
            <w:pPr>
              <w:spacing w:line="240" w:lineRule="exact"/>
              <w:jc w:val="center"/>
              <w:rPr>
                <w:rFonts w:ascii="Times New Roman" w:hAnsi="Times New Roman" w:eastAsia="方正仿宋_GBK"/>
                <w:sz w:val="18"/>
                <w:szCs w:val="18"/>
              </w:rPr>
            </w:pPr>
          </w:p>
        </w:tc>
        <w:tc>
          <w:tcPr>
            <w:tcW w:w="354" w:type="pct"/>
            <w:vMerge w:val="continue"/>
            <w:vAlign w:val="center"/>
          </w:tcPr>
          <w:p>
            <w:pPr>
              <w:spacing w:line="240" w:lineRule="exact"/>
              <w:jc w:val="center"/>
              <w:rPr>
                <w:rFonts w:ascii="Times New Roman" w:hAnsi="Times New Roman" w:eastAsia="方正仿宋_GBK"/>
                <w:sz w:val="18"/>
                <w:szCs w:val="18"/>
              </w:rPr>
            </w:pPr>
          </w:p>
        </w:tc>
        <w:tc>
          <w:tcPr>
            <w:tcW w:w="894" w:type="pct"/>
            <w:vMerge w:val="continue"/>
            <w:vAlign w:val="center"/>
          </w:tcPr>
          <w:p>
            <w:pPr>
              <w:spacing w:line="240" w:lineRule="exact"/>
              <w:jc w:val="center"/>
              <w:rPr>
                <w:rFonts w:ascii="Times New Roman" w:hAnsi="Times New Roman" w:eastAsia="方正仿宋_GBK"/>
                <w:sz w:val="18"/>
                <w:szCs w:val="18"/>
              </w:rPr>
            </w:pPr>
          </w:p>
        </w:tc>
        <w:tc>
          <w:tcPr>
            <w:tcW w:w="1467" w:type="pct"/>
            <w:vMerge w:val="continue"/>
            <w:vAlign w:val="center"/>
          </w:tcPr>
          <w:p>
            <w:pPr>
              <w:spacing w:line="240" w:lineRule="exact"/>
              <w:jc w:val="center"/>
              <w:rPr>
                <w:rFonts w:ascii="Times New Roman" w:hAnsi="Times New Roman" w:eastAsia="方正仿宋_GBK"/>
                <w:sz w:val="18"/>
                <w:szCs w:val="18"/>
              </w:rPr>
            </w:pPr>
          </w:p>
        </w:tc>
        <w:tc>
          <w:tcPr>
            <w:tcW w:w="294" w:type="pct"/>
            <w:vMerge w:val="continue"/>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49"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3</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【法律】《中华人民共和国招标投标法》第五十二条。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w:t>
            </w:r>
            <w:r>
              <w:rPr>
                <w:rFonts w:ascii="Times New Roman" w:hAnsi="方正仿宋_GBK" w:eastAsia="方正仿宋_GBK"/>
                <w:sz w:val="18"/>
                <w:szCs w:val="18"/>
              </w:rPr>
              <w:t>他责任。</w:t>
            </w:r>
          </w:p>
        </w:tc>
        <w:tc>
          <w:tcPr>
            <w:tcW w:w="354"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2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w:t>
            </w:r>
            <w:r>
              <w:rPr>
                <w:rFonts w:ascii="Times New Roman" w:hAnsi="方正仿宋_GBK" w:eastAsia="方正仿宋_GBK"/>
                <w:sz w:val="16"/>
                <w:szCs w:val="16"/>
              </w:rPr>
              <w:t>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widowControl/>
              <w:spacing w:line="240" w:lineRule="exact"/>
              <w:jc w:val="lef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4</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【法律】《中华人民共和国招标投标法》第五十三条。</w:t>
            </w:r>
            <w:r>
              <w:rPr>
                <w:rFonts w:ascii="Times New Roman" w:hAnsi="Times New Roman" w:eastAsia="方正仿宋_GBK"/>
                <w:sz w:val="18"/>
                <w:szCs w:val="18"/>
              </w:rPr>
              <w:br w:type="textWrapping"/>
            </w: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【行政法规】《中华人民共和国招标投标法实施条例》第六十七条。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6"/>
                <w:szCs w:val="16"/>
              </w:rPr>
              <w:t>1-1.</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5</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对法律法规未明确规定行政监督部门的工程建设项目的投标人以他人名义投标或者以其他方式弄虚作假，骗取中标的行政处罚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【法律】《中华人民共和国招标投标法》第五十四条。</w:t>
            </w:r>
            <w:r>
              <w:rPr>
                <w:rFonts w:ascii="Times New Roman" w:hAnsi="Times New Roman" w:eastAsia="方正仿宋_GBK"/>
                <w:sz w:val="18"/>
                <w:szCs w:val="18"/>
              </w:rPr>
              <w:br w:type="textWrapping"/>
            </w: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【行政法规】《中华人民共和国招标投标法实施条例》第六十八条。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立案责任：发现法律法规未明确规定行政监督部门的工程建设项目的投标人涉嫌以他人名义投标或者以其他方式弄虚作假，骗取中标的行为的，予以审查，决定是否立案。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6</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对法律法规未明确规定行政监督部门的工程建设项目招标人违反招投标法律规定，与投标人就投标价格、投标方案等实质性内容进行谈判的行政处罚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【法律】《中华人民共和国招标投标法》第五十五条。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w:t>
            </w:r>
            <w:r>
              <w:rPr>
                <w:rFonts w:ascii="Times New Roman" w:hAnsi="方正仿宋_GBK" w:eastAsia="方正仿宋_GBK"/>
                <w:sz w:val="16"/>
                <w:szCs w:val="16"/>
              </w:rPr>
              <w:t>的工程建设项目招标人涉嫌违反招投标法律规定，与投标人就投标价格、投标方案等实质性内容进行谈判的行为的，予以审查，决定是否立案。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Times New Roman" w:eastAsia="方正仿宋_GBK"/>
                <w:sz w:val="16"/>
                <w:szCs w:val="16"/>
              </w:rPr>
              <w:t>.</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7</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对评标专家违规的行政处罚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【法律】《中华人民共和国招标投标法》第五十六条。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【行政法规】《中华人民共和国招标投标法实施条例》第七十一条、第七十二条。</w:t>
            </w:r>
          </w:p>
        </w:tc>
        <w:tc>
          <w:tcPr>
            <w:tcW w:w="75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立案责任：发现评标专家涉嫌违规行为的，予以审查，决定是否立案。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8</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【法律】《中华人民共和国招标投标法》第五十七条。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w:t>
            </w:r>
            <w:r>
              <w:rPr>
                <w:rFonts w:ascii="Times New Roman" w:hAnsi="方正仿宋_GBK" w:eastAsia="方正仿宋_GBK"/>
                <w:sz w:val="16"/>
                <w:szCs w:val="16"/>
              </w:rPr>
              <w:t>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r>
              <w:rPr>
                <w:rFonts w:ascii="Times New Roman" w:hAnsi="Times New Roman" w:eastAsia="方正仿宋_GBK"/>
                <w:sz w:val="18"/>
                <w:szCs w:val="18"/>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9</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【法律】《中华人民共和国招标投标法》第五十八条。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【行政法规】《中华人民共和国招标投标法实施条例》第七十六条。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10</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after="180"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【法律】《中华人民共和国招标投标法》第五十九条。</w:t>
            </w:r>
            <w:r>
              <w:rPr>
                <w:rFonts w:ascii="Times New Roman" w:hAnsi="Times New Roman" w:eastAsia="方正仿宋_GBK"/>
                <w:sz w:val="18"/>
                <w:szCs w:val="18"/>
              </w:rPr>
              <w:t xml:space="preserve"> </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【行政法规】《中华人民共和国招标投标法实施条例》第七十五条。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r>
              <w:rPr>
                <w:rFonts w:ascii="Times New Roman" w:hAnsi="Times New Roman" w:eastAsia="方正仿宋_GBK"/>
                <w:sz w:val="18"/>
                <w:szCs w:val="18"/>
              </w:rPr>
              <w:br w:type="textWrapping"/>
            </w:r>
            <w:r>
              <w:rPr>
                <w:rFonts w:ascii="Times New Roman" w:hAnsi="Times New Roman" w:eastAsia="方正仿宋_GBK"/>
                <w:sz w:val="18"/>
                <w:szCs w:val="18"/>
              </w:rPr>
              <w:t>1</w:t>
            </w:r>
            <w:r>
              <w:rPr>
                <w:rFonts w:ascii="Times New Roman" w:hAnsi="Times New Roman" w:eastAsia="方正仿宋_GBK"/>
                <w:sz w:val="16"/>
                <w:szCs w:val="16"/>
              </w:rPr>
              <w:t>-2.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11</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对法律法规未明确规定行政监督部门的工程建设项目中标人不履行与招标人订立的合同、不按照与招标人订立的合同履行义务的行政处罚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【法律】《中华人民共和国招标投标法》第六十条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立案责任：发现法律法规未明确规定行政监督部门的工程建设项目中标人涉嫌不履行与招标人订立的合同、不按照与招标人订立的合同履行义务的行为的，予以审查，决定是否立案。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w:t>
            </w:r>
            <w:r>
              <w:rPr>
                <w:rFonts w:ascii="Times New Roman" w:hAnsi="方正仿宋_GBK" w:eastAsia="方正仿宋_GBK"/>
                <w:sz w:val="16"/>
                <w:szCs w:val="16"/>
              </w:rPr>
              <w:t>法律】《中华人民共和国行政处罚法》第七十六条。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12</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对依法必须进行招标的法律法规未明确规定行政监督部门的工程建设项目的招标人不按照规定组建评标委员会的行政处罚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【部门规章】《评标专家和评标专家库管理暂行办法》第十七条。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立案责任：发现依法必须进行招标的法律法规未明确规定行政监督部门的工程建设项目的招标人涉嫌不按照规定组建评标委员会的行为的，予以审查，决定是否立案。</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6"/>
                <w:szCs w:val="16"/>
              </w:rPr>
              <w:br w:type="textWrapping"/>
            </w: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13</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【地方性法规】《四川省国家投资工程建设项目招标投标条例》第四十七条、第四十八条。</w:t>
            </w:r>
          </w:p>
        </w:tc>
        <w:tc>
          <w:tcPr>
            <w:tcW w:w="752"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6"/>
                <w:szCs w:val="16"/>
              </w:rPr>
              <w:t>1.</w:t>
            </w:r>
            <w:r>
              <w:rPr>
                <w:rFonts w:ascii="Times New Roman" w:hAnsi="方正仿宋_GBK" w:eastAsia="方正仿宋_GBK"/>
                <w:sz w:val="16"/>
                <w:szCs w:val="16"/>
              </w:rPr>
              <w:t>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14</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对法律法规未明确规定行政监督部门的工程建设项目招标人在发布招标公告、发出投标邀请书或者招标文件后终止招标的行政处罚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【地方性法规】《四川省国家投资工程建设项目招标投标条例》第四十三条。</w:t>
            </w:r>
          </w:p>
        </w:tc>
        <w:tc>
          <w:tcPr>
            <w:tcW w:w="75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发现法律法规未明确规定行政监督部门的工程建设项目招标人涉嫌在发布招标公告、发出投标邀请书或者招标文件后终止招标的行为的，予以审查，决定是否立案。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15</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对法律法规未明确规定行政监督部门的工程建设项目招标人强制要求中标人垫付中标项目建设资金的行政处罚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【地方性法规】《四川省国家投资工程建设项目招标投标条例》第四十八条第二款。</w:t>
            </w:r>
          </w:p>
        </w:tc>
        <w:tc>
          <w:tcPr>
            <w:tcW w:w="75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发现法律法规未明确规定行政监督部门的工程建设项目招标人涉嫌强制要求中标人垫付中标项目建设资金的行为的，予以审查，决定是否立案。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【行政法规】《</w:t>
            </w:r>
            <w:r>
              <w:rPr>
                <w:rFonts w:ascii="Times New Roman" w:hAnsi="方正仿宋_GBK" w:eastAsia="方正仿宋_GBK"/>
                <w:sz w:val="16"/>
                <w:szCs w:val="16"/>
              </w:rPr>
              <w:t>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16</w:t>
            </w:r>
          </w:p>
        </w:tc>
        <w:tc>
          <w:tcPr>
            <w:tcW w:w="172" w:type="pct"/>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对法律法规未明确规定行政监督部门的工程建设项目招标人及其工作人员违反法律、法规和规章从事与招标代理活动有关行为的行政处罚</w:t>
            </w:r>
          </w:p>
        </w:tc>
        <w:tc>
          <w:tcPr>
            <w:tcW w:w="285"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【地方政府规章】《四川省工程建设项目招标代理办法》第十七条第二款。</w:t>
            </w:r>
          </w:p>
        </w:tc>
        <w:tc>
          <w:tcPr>
            <w:tcW w:w="752"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立案责任：发现明确规定行政监督部门的工程建设项目招标人及其工作人员涉嫌违反法律、法规和规章从事与招标代理活动有关行为的，予以审查，决定是</w:t>
            </w:r>
            <w:r>
              <w:rPr>
                <w:rFonts w:ascii="Times New Roman" w:hAnsi="方正仿宋_GBK" w:eastAsia="方正仿宋_GBK"/>
                <w:sz w:val="16"/>
                <w:szCs w:val="16"/>
              </w:rPr>
              <w:t>否立案。</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r>
              <w:rPr>
                <w:rFonts w:ascii="Times New Roman" w:hAnsi="Times New Roman" w:eastAsia="方正仿宋_GBK"/>
                <w:sz w:val="16"/>
                <w:szCs w:val="16"/>
              </w:rPr>
              <w:br w:type="textWrapping"/>
            </w: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r>
              <w:rPr>
                <w:rFonts w:ascii="Times New Roman" w:hAnsi="Times New Roman" w:eastAsia="方正仿宋_GBK"/>
                <w:sz w:val="16"/>
                <w:szCs w:val="16"/>
              </w:rPr>
              <w:br w:type="textWrapping"/>
            </w: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r>
              <w:rPr>
                <w:rFonts w:ascii="Times New Roman" w:hAnsi="Times New Roman" w:eastAsia="方正仿宋_GBK"/>
                <w:sz w:val="16"/>
                <w:szCs w:val="16"/>
              </w:rPr>
              <w:br w:type="textWrapping"/>
            </w: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r>
              <w:rPr>
                <w:rFonts w:ascii="Times New Roman" w:hAnsi="Times New Roman" w:eastAsia="方正仿宋_GBK"/>
                <w:sz w:val="16"/>
                <w:szCs w:val="16"/>
              </w:rPr>
              <w:br w:type="textWrapping"/>
            </w: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r>
              <w:rPr>
                <w:rFonts w:ascii="Times New Roman" w:hAnsi="Times New Roman" w:eastAsia="方正仿宋_GBK"/>
                <w:sz w:val="18"/>
                <w:szCs w:val="18"/>
              </w:rPr>
              <w:br w:type="textWrapping"/>
            </w:r>
            <w:r>
              <w:rPr>
                <w:rFonts w:ascii="Times New Roman" w:hAnsi="Times New Roman" w:eastAsia="方正仿宋_GBK"/>
                <w:sz w:val="18"/>
                <w:szCs w:val="18"/>
              </w:rPr>
              <w:t>2.</w:t>
            </w:r>
            <w:r>
              <w:rPr>
                <w:rFonts w:ascii="Times New Roman" w:hAnsi="方正仿宋_GBK" w:eastAsia="方正仿宋_GBK"/>
                <w:sz w:val="18"/>
                <w:szCs w:val="18"/>
              </w:rPr>
              <w:t>不履行行政执法职责；</w:t>
            </w:r>
            <w:r>
              <w:rPr>
                <w:rFonts w:ascii="Times New Roman" w:hAnsi="Times New Roman" w:eastAsia="方正仿宋_GBK"/>
                <w:sz w:val="18"/>
                <w:szCs w:val="18"/>
              </w:rPr>
              <w:br w:type="textWrapping"/>
            </w: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r>
              <w:rPr>
                <w:rFonts w:ascii="Times New Roman" w:hAnsi="Times New Roman" w:eastAsia="方正仿宋_GBK"/>
                <w:sz w:val="18"/>
                <w:szCs w:val="18"/>
              </w:rPr>
              <w:br w:type="textWrapping"/>
            </w: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r>
              <w:rPr>
                <w:rFonts w:ascii="Times New Roman" w:hAnsi="Times New Roman" w:eastAsia="方正仿宋_GBK"/>
                <w:sz w:val="18"/>
                <w:szCs w:val="18"/>
              </w:rPr>
              <w:br w:type="textWrapping"/>
            </w: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r>
              <w:rPr>
                <w:rFonts w:ascii="Times New Roman" w:hAnsi="Times New Roman" w:eastAsia="方正仿宋_GBK"/>
                <w:sz w:val="18"/>
                <w:szCs w:val="18"/>
              </w:rPr>
              <w:br w:type="textWrapping"/>
            </w: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r>
              <w:rPr>
                <w:rFonts w:ascii="Times New Roman" w:hAnsi="Times New Roman" w:eastAsia="方正仿宋_GBK"/>
                <w:sz w:val="18"/>
                <w:szCs w:val="18"/>
              </w:rPr>
              <w:br w:type="textWrapping"/>
            </w: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r>
              <w:rPr>
                <w:rFonts w:ascii="Times New Roman" w:hAnsi="Times New Roman" w:eastAsia="方正仿宋_GBK"/>
                <w:sz w:val="18"/>
                <w:szCs w:val="18"/>
              </w:rPr>
              <w:br w:type="textWrapping"/>
            </w: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r>
              <w:rPr>
                <w:rFonts w:ascii="Times New Roman" w:hAnsi="Times New Roman" w:eastAsia="方正仿宋_GBK"/>
                <w:sz w:val="18"/>
                <w:szCs w:val="18"/>
              </w:rPr>
              <w:br w:type="textWrapping"/>
            </w: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r>
              <w:rPr>
                <w:rFonts w:ascii="Times New Roman" w:hAnsi="Times New Roman" w:eastAsia="方正仿宋_GBK"/>
                <w:sz w:val="18"/>
                <w:szCs w:val="18"/>
              </w:rPr>
              <w:br w:type="textWrapping"/>
            </w: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r>
              <w:rPr>
                <w:rFonts w:ascii="Times New Roman" w:hAnsi="Times New Roman" w:eastAsia="方正仿宋_GBK"/>
                <w:sz w:val="18"/>
                <w:szCs w:val="18"/>
              </w:rPr>
              <w:br w:type="textWrapping"/>
            </w: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r>
              <w:rPr>
                <w:rFonts w:ascii="Times New Roman" w:hAnsi="Times New Roman" w:eastAsia="方正仿宋_GBK"/>
                <w:sz w:val="18"/>
                <w:szCs w:val="18"/>
              </w:rPr>
              <w:br w:type="textWrapping"/>
            </w: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r>
              <w:rPr>
                <w:rFonts w:ascii="Times New Roman" w:hAnsi="Times New Roman" w:eastAsia="方正仿宋_GBK"/>
                <w:sz w:val="18"/>
                <w:szCs w:val="18"/>
              </w:rPr>
              <w:br w:type="textWrapping"/>
            </w: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Align w:val="center"/>
          </w:tcPr>
          <w:p>
            <w:pPr>
              <w:spacing w:line="22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w:t>
            </w:r>
            <w:r>
              <w:rPr>
                <w:rFonts w:ascii="Times New Roman" w:hAnsi="方正仿宋_GBK" w:eastAsia="方正仿宋_GBK"/>
                <w:sz w:val="16"/>
                <w:szCs w:val="16"/>
              </w:rPr>
              <w:t>律】《中华人民共和国行政处罚法》第七十六条。</w:t>
            </w:r>
            <w:r>
              <w:rPr>
                <w:rFonts w:ascii="Times New Roman" w:hAnsi="Times New Roman" w:eastAsia="方正仿宋_GBK"/>
                <w:sz w:val="16"/>
                <w:szCs w:val="16"/>
              </w:rPr>
              <w:br w:type="textWrapping"/>
            </w: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r>
              <w:rPr>
                <w:rFonts w:ascii="Times New Roman" w:hAnsi="Times New Roman" w:eastAsia="方正仿宋_GBK"/>
                <w:sz w:val="16"/>
                <w:szCs w:val="16"/>
              </w:rPr>
              <w:br w:type="textWrapping"/>
            </w: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r>
              <w:rPr>
                <w:rFonts w:ascii="Times New Roman" w:hAnsi="Times New Roman" w:eastAsia="方正仿宋_GBK"/>
                <w:sz w:val="16"/>
                <w:szCs w:val="16"/>
              </w:rPr>
              <w:br w:type="textWrapping"/>
            </w: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r>
              <w:rPr>
                <w:rFonts w:ascii="Times New Roman" w:hAnsi="Times New Roman" w:eastAsia="方正仿宋_GBK"/>
                <w:sz w:val="16"/>
                <w:szCs w:val="16"/>
              </w:rPr>
              <w:br w:type="textWrapping"/>
            </w: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r>
              <w:rPr>
                <w:rFonts w:ascii="Times New Roman" w:hAnsi="Times New Roman" w:eastAsia="方正仿宋_GBK"/>
                <w:sz w:val="16"/>
                <w:szCs w:val="16"/>
              </w:rPr>
              <w:br w:type="textWrapping"/>
            </w: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r>
              <w:rPr>
                <w:rFonts w:ascii="Times New Roman" w:hAnsi="Times New Roman" w:eastAsia="方正仿宋_GBK"/>
                <w:sz w:val="16"/>
                <w:szCs w:val="16"/>
              </w:rPr>
              <w:br w:type="textWrapping"/>
            </w: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r>
              <w:rPr>
                <w:rFonts w:ascii="Times New Roman" w:hAnsi="Times New Roman" w:eastAsia="方正仿宋_GBK"/>
                <w:sz w:val="16"/>
                <w:szCs w:val="16"/>
              </w:rPr>
              <w:br w:type="textWrapping"/>
            </w: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r>
              <w:rPr>
                <w:rFonts w:ascii="Times New Roman" w:hAnsi="Times New Roman" w:eastAsia="方正仿宋_GBK"/>
                <w:sz w:val="16"/>
                <w:szCs w:val="16"/>
              </w:rPr>
              <w:br w:type="textWrapping"/>
            </w: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r>
              <w:rPr>
                <w:rFonts w:ascii="Times New Roman" w:hAnsi="Times New Roman" w:eastAsia="方正仿宋_GBK"/>
                <w:sz w:val="16"/>
                <w:szCs w:val="16"/>
              </w:rPr>
              <w:br w:type="textWrapping"/>
            </w: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r>
              <w:rPr>
                <w:rFonts w:ascii="Times New Roman" w:hAnsi="Times New Roman" w:eastAsia="方正仿宋_GBK"/>
                <w:sz w:val="16"/>
                <w:szCs w:val="16"/>
              </w:rPr>
              <w:br w:type="textWrapping"/>
            </w: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【行政法规】《行政机关公务员处分条例》第二十五条第五款。</w:t>
            </w:r>
            <w:r>
              <w:rPr>
                <w:rFonts w:ascii="Times New Roman" w:hAnsi="Times New Roman" w:eastAsia="方正仿宋_GBK"/>
                <w:sz w:val="16"/>
                <w:szCs w:val="16"/>
              </w:rPr>
              <w:br w:type="textWrapping"/>
            </w: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r>
              <w:rPr>
                <w:rFonts w:ascii="Times New Roman" w:hAnsi="Times New Roman" w:eastAsia="方正仿宋_GBK"/>
                <w:sz w:val="16"/>
                <w:szCs w:val="16"/>
              </w:rPr>
              <w:br w:type="textWrapping"/>
            </w: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r>
              <w:rPr>
                <w:rFonts w:ascii="Times New Roman" w:hAnsi="Times New Roman" w:eastAsia="方正仿宋_GBK"/>
                <w:sz w:val="16"/>
                <w:szCs w:val="16"/>
              </w:rPr>
              <w:br w:type="textWrapping"/>
            </w: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r>
              <w:rPr>
                <w:rFonts w:ascii="Times New Roman" w:hAnsi="Times New Roman" w:eastAsia="方正仿宋_GBK"/>
                <w:sz w:val="16"/>
                <w:szCs w:val="16"/>
              </w:rPr>
              <w:br w:type="textWrapping"/>
            </w: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r>
              <w:rPr>
                <w:rFonts w:ascii="Times New Roman" w:hAnsi="Times New Roman" w:eastAsia="方正仿宋_GBK"/>
                <w:sz w:val="16"/>
                <w:szCs w:val="16"/>
              </w:rPr>
              <w:br w:type="textWrapping"/>
            </w: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【行政法规】《行政机关公务员处分条例》第二十条第四款。</w:t>
            </w:r>
            <w:r>
              <w:rPr>
                <w:rFonts w:ascii="Times New Roman" w:hAnsi="Times New Roman" w:eastAsia="方正仿宋_GBK"/>
                <w:sz w:val="16"/>
                <w:szCs w:val="16"/>
              </w:rPr>
              <w:br w:type="textWrapping"/>
            </w: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r>
              <w:rPr>
                <w:rFonts w:ascii="Times New Roman" w:hAnsi="Times New Roman" w:eastAsia="方正仿宋_GBK"/>
                <w:sz w:val="16"/>
                <w:szCs w:val="16"/>
              </w:rPr>
              <w:br w:type="textWrapping"/>
            </w: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r>
              <w:rPr>
                <w:rFonts w:ascii="Times New Roman" w:hAnsi="Times New Roman" w:eastAsia="方正仿宋_GBK"/>
                <w:sz w:val="16"/>
                <w:szCs w:val="16"/>
              </w:rPr>
              <w:br w:type="textWrapping"/>
            </w: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r>
              <w:rPr>
                <w:rFonts w:ascii="Times New Roman" w:hAnsi="Times New Roman" w:eastAsia="方正仿宋_GBK"/>
                <w:sz w:val="16"/>
                <w:szCs w:val="16"/>
              </w:rPr>
              <w:br w:type="textWrapping"/>
            </w: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r>
              <w:rPr>
                <w:rFonts w:ascii="Times New Roman" w:hAnsi="Times New Roman" w:eastAsia="方正仿宋_GBK"/>
                <w:sz w:val="16"/>
                <w:szCs w:val="16"/>
              </w:rPr>
              <w:br w:type="textWrapping"/>
            </w: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r>
              <w:rPr>
                <w:rFonts w:ascii="Times New Roman" w:hAnsi="Times New Roman" w:eastAsia="方正仿宋_GBK"/>
                <w:sz w:val="18"/>
                <w:szCs w:val="18"/>
              </w:rPr>
              <w:br w:type="textWrapping"/>
            </w: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bl>
    <w:p>
      <w:pPr>
        <w:pStyle w:val="6"/>
        <w:spacing w:line="240" w:lineRule="exact"/>
        <w:rPr>
          <w:rFonts w:ascii="Times New Roman" w:hAnsi="Times New Roman"/>
        </w:rPr>
      </w:pPr>
    </w:p>
    <w:p>
      <w:pPr>
        <w:numPr>
          <w:ilvl w:val="0"/>
          <w:numId w:val="2"/>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巴中市财政局</w:t>
      </w:r>
    </w:p>
    <w:tbl>
      <w:tblPr>
        <w:tblStyle w:val="11"/>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379"/>
        <w:gridCol w:w="1139"/>
        <w:gridCol w:w="933"/>
        <w:gridCol w:w="2639"/>
        <w:gridCol w:w="2009"/>
        <w:gridCol w:w="2592"/>
        <w:gridCol w:w="341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restar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80" w:type="pct"/>
            <w:vMerge w:val="restar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1094" w:type="pct"/>
            <w:gridSpan w:val="3"/>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591" w:type="pct"/>
            <w:gridSpan w:val="5"/>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continue"/>
          </w:tcPr>
          <w:p>
            <w:pPr>
              <w:spacing w:line="240" w:lineRule="exact"/>
              <w:rPr>
                <w:rFonts w:ascii="Times New Roman" w:hAnsi="Times New Roman" w:eastAsia="方正小标宋简体"/>
                <w:sz w:val="16"/>
                <w:szCs w:val="16"/>
              </w:rPr>
            </w:pPr>
          </w:p>
        </w:tc>
        <w:tc>
          <w:tcPr>
            <w:tcW w:w="180" w:type="pct"/>
            <w:vMerge w:val="continue"/>
          </w:tcPr>
          <w:p>
            <w:pPr>
              <w:spacing w:line="240" w:lineRule="exact"/>
              <w:rPr>
                <w:rFonts w:ascii="Times New Roman" w:hAnsi="Times New Roman" w:eastAsia="方正小标宋简体"/>
                <w:sz w:val="16"/>
                <w:szCs w:val="16"/>
              </w:rPr>
            </w:pPr>
          </w:p>
        </w:tc>
        <w:tc>
          <w:tcPr>
            <w:tcW w:w="437"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361"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294"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837"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637"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22"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084"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08" w:type="pc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17</w:t>
            </w:r>
          </w:p>
        </w:tc>
        <w:tc>
          <w:tcPr>
            <w:tcW w:w="180" w:type="pct"/>
            <w:vAlign w:val="center"/>
          </w:tcPr>
          <w:p>
            <w:pPr>
              <w:pStyle w:val="14"/>
              <w:spacing w:before="124"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7"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9"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【法律】《中华人民共和国政府采购法》第七十一条。</w:t>
            </w:r>
          </w:p>
        </w:tc>
        <w:tc>
          <w:tcPr>
            <w:tcW w:w="837" w:type="pct"/>
            <w:vAlign w:val="center"/>
          </w:tcPr>
          <w:p>
            <w:pPr>
              <w:pStyle w:val="14"/>
              <w:tabs>
                <w:tab w:val="left" w:pos="184"/>
              </w:tabs>
              <w:spacing w:before="90"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方正仿宋_GBK" w:eastAsia="方正仿宋_GBK" w:cs="Times New Roman"/>
                <w:sz w:val="15"/>
                <w:szCs w:val="15"/>
              </w:rPr>
              <w:t>立案责任：通过财政检查、投诉或其他方式发现违规行为，决定是否立案受理。</w:t>
            </w:r>
          </w:p>
          <w:p>
            <w:pPr>
              <w:pStyle w:val="14"/>
              <w:tabs>
                <w:tab w:val="left" w:pos="184"/>
              </w:tabs>
              <w:spacing w:line="220" w:lineRule="exact"/>
              <w:ind w:left="68" w:right="-15"/>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20" w:lineRule="exact"/>
              <w:ind w:left="68" w:right="72"/>
              <w:rPr>
                <w:rFonts w:ascii="Times New Roman" w:hAnsi="Times New Roman" w:eastAsia="方正仿宋_GBK" w:cs="Times New Roman"/>
                <w:sz w:val="13"/>
                <w:szCs w:val="13"/>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复核审查责任：核实财政检查报告以及其他有关材料，对违法事实进行复核。</w:t>
            </w:r>
          </w:p>
          <w:p>
            <w:pPr>
              <w:pStyle w:val="14"/>
              <w:tabs>
                <w:tab w:val="left" w:pos="19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5"/>
                <w:szCs w:val="15"/>
              </w:rPr>
              <w:t>20</w:t>
            </w:r>
            <w:r>
              <w:rPr>
                <w:rFonts w:ascii="Times New Roman" w:hAnsi="方正仿宋_GBK" w:eastAsia="方正仿宋_GBK" w:cs="Times New Roman"/>
                <w:sz w:val="15"/>
                <w:szCs w:val="15"/>
              </w:rPr>
              <w:t>日内组织听证，并在听证的</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日前将《财政行政处罚听证通知书》送达听证参加人。</w:t>
            </w:r>
          </w:p>
          <w:p>
            <w:pPr>
              <w:pStyle w:val="14"/>
              <w:tabs>
                <w:tab w:val="left" w:pos="184"/>
              </w:tabs>
              <w:spacing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决定责任：作出处罚决定，制作行政处罚决定书。</w:t>
            </w:r>
          </w:p>
          <w:p>
            <w:pPr>
              <w:pStyle w:val="14"/>
              <w:tabs>
                <w:tab w:val="left" w:pos="184"/>
              </w:tabs>
              <w:spacing w:line="220" w:lineRule="exact"/>
              <w:ind w:left="68" w:right="74"/>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送达责任：将行政处罚决定书送达当事人。</w:t>
            </w:r>
          </w:p>
          <w:p>
            <w:pPr>
              <w:pStyle w:val="14"/>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执行责任：作出罚款决定的行政机关应当与收缴罚款的机构分离。当事人逾期不履行，可以采取加处罚款、申请人民法院执行等措施。</w:t>
            </w:r>
          </w:p>
          <w:p>
            <w:pPr>
              <w:pStyle w:val="14"/>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监督责任：对处罚决定执行情况进行监督检查。</w:t>
            </w:r>
          </w:p>
          <w:p>
            <w:pPr>
              <w:pStyle w:val="14"/>
              <w:spacing w:line="220" w:lineRule="exact"/>
              <w:ind w:left="68" w:right="74"/>
              <w:rPr>
                <w:rFonts w:ascii="Times New Roman" w:hAnsi="Times New Roman" w:eastAsia="方正仿宋_GBK" w:cs="Times New Roman"/>
                <w:sz w:val="16"/>
                <w:szCs w:val="16"/>
              </w:rPr>
            </w:pPr>
            <w:r>
              <w:rPr>
                <w:rFonts w:ascii="Times New Roman" w:hAnsi="Times New Roman" w:eastAsia="方正仿宋_GBK" w:cs="Times New Roman"/>
                <w:sz w:val="15"/>
                <w:szCs w:val="15"/>
              </w:rPr>
              <w:t>9.</w:t>
            </w:r>
            <w:r>
              <w:rPr>
                <w:rFonts w:ascii="Times New Roman" w:hAnsi="方正仿宋_GBK" w:eastAsia="方正仿宋_GBK" w:cs="Times New Roman"/>
                <w:sz w:val="15"/>
                <w:szCs w:val="15"/>
              </w:rPr>
              <w:t>法律法规规章文件规定的其他应履行的责任。</w:t>
            </w:r>
          </w:p>
        </w:tc>
        <w:tc>
          <w:tcPr>
            <w:tcW w:w="637" w:type="pct"/>
            <w:vAlign w:val="center"/>
          </w:tcPr>
          <w:p>
            <w:pPr>
              <w:pStyle w:val="14"/>
              <w:spacing w:before="1"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before="19"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4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45"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4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1"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18</w:t>
            </w:r>
          </w:p>
        </w:tc>
        <w:tc>
          <w:tcPr>
            <w:tcW w:w="180" w:type="pct"/>
            <w:vAlign w:val="center"/>
          </w:tcPr>
          <w:p>
            <w:pPr>
              <w:pStyle w:val="14"/>
              <w:spacing w:before="123"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361" w:type="pct"/>
            <w:vAlign w:val="center"/>
          </w:tcPr>
          <w:p>
            <w:pPr>
              <w:pStyle w:val="14"/>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【法律】《中华人民共和国政府采购法》第七十二条。</w:t>
            </w:r>
          </w:p>
        </w:tc>
        <w:tc>
          <w:tcPr>
            <w:tcW w:w="837" w:type="pct"/>
            <w:vAlign w:val="center"/>
          </w:tcPr>
          <w:p>
            <w:pPr>
              <w:pStyle w:val="14"/>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spacing w:before="22"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before="16"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spacing w:before="15"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20"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6"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4"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9"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19</w:t>
            </w:r>
          </w:p>
        </w:tc>
        <w:tc>
          <w:tcPr>
            <w:tcW w:w="180" w:type="pct"/>
            <w:vAlign w:val="center"/>
          </w:tcPr>
          <w:p>
            <w:pPr>
              <w:pStyle w:val="14"/>
              <w:spacing w:before="1" w:line="240" w:lineRule="exact"/>
              <w:ind w:left="114" w:right="68"/>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对采购人、采购代理机构隐匿、销毁应当保存的采购文件或者伪造、变造采购文件的行政处罚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9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【法律】《中华人民共和国政府采购法》第七十六条。</w:t>
            </w:r>
          </w:p>
        </w:tc>
        <w:tc>
          <w:tcPr>
            <w:tcW w:w="837" w:type="pct"/>
            <w:vAlign w:val="center"/>
          </w:tcPr>
          <w:p>
            <w:pPr>
              <w:pStyle w:val="14"/>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before="22"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3" w:hRule="atLeast"/>
        </w:trPr>
        <w:tc>
          <w:tcPr>
            <w:tcW w:w="134" w:type="pct"/>
            <w:vAlign w:val="center"/>
          </w:tcPr>
          <w:p>
            <w:pPr>
              <w:pStyle w:val="14"/>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20</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9"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361" w:type="pct"/>
            <w:vAlign w:val="center"/>
          </w:tcPr>
          <w:p>
            <w:pPr>
              <w:pStyle w:val="14"/>
              <w:spacing w:line="240" w:lineRule="exact"/>
              <w:ind w:right="120"/>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【法律】《中华人民共和国政府采购法》第七十七条。</w:t>
            </w:r>
          </w:p>
        </w:tc>
        <w:tc>
          <w:tcPr>
            <w:tcW w:w="837" w:type="pct"/>
            <w:vAlign w:val="center"/>
          </w:tcPr>
          <w:p>
            <w:pPr>
              <w:pStyle w:val="14"/>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16"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8"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对集中采购机构在政府采购监督管理部门考核中，虚报业绩，隐瞒真实情况的行政处罚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9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【法律】《中华人民共和国政府采购法》第八十二条。</w:t>
            </w:r>
          </w:p>
        </w:tc>
        <w:tc>
          <w:tcPr>
            <w:tcW w:w="837" w:type="pct"/>
            <w:vAlign w:val="center"/>
          </w:tcPr>
          <w:p>
            <w:pPr>
              <w:pStyle w:val="14"/>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16" w:line="220" w:lineRule="exact"/>
              <w:ind w:right="5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，擅自变更、中止或者终止政府采购合同，未依法公告政府采购合同，未依法将政府采购合同副本备案的行政处罚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【行政法规】《中华人民共和国政府采购法实施条例》第六十七条。</w:t>
            </w:r>
          </w:p>
        </w:tc>
        <w:tc>
          <w:tcPr>
            <w:tcW w:w="837" w:type="pct"/>
            <w:vAlign w:val="center"/>
          </w:tcPr>
          <w:p>
            <w:pPr>
              <w:pStyle w:val="14"/>
              <w:tabs>
                <w:tab w:val="left" w:pos="184"/>
              </w:tabs>
              <w:spacing w:before="12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3"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1"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23</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00" w:lineRule="exact"/>
              <w:ind w:left="7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对</w:t>
            </w:r>
            <w:r>
              <w:rPr>
                <w:rFonts w:ascii="Times New Roman" w:hAnsi="方正仿宋_GBK" w:eastAsia="方正仿宋_GBK" w:cs="Times New Roman"/>
                <w:sz w:val="15"/>
                <w:szCs w:val="15"/>
              </w:rPr>
              <w:t>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【行政法规】《中华人民共和国政府采购法实施条例》第六十八条。</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3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33"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27"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before="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7"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对集中采购机构内部监督管理制度不健全、对依法应当分设、分离的岗位、人员未分设、分离，将集中采购项目委托其他采购代理机构采购，从事营利活动的行政处罚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【行政法规】《中华人民共和国政府采购法实施条例》第六十九条。</w:t>
            </w:r>
          </w:p>
        </w:tc>
        <w:tc>
          <w:tcPr>
            <w:tcW w:w="837" w:type="pct"/>
            <w:vAlign w:val="center"/>
          </w:tcPr>
          <w:p>
            <w:pPr>
              <w:pStyle w:val="14"/>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25</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对采购人员不依法回避的行政处罚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line="240" w:lineRule="exact"/>
              <w:ind w:left="71"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【行政法规】《中华人民共和国政府采购法实施条例》第七十条。</w:t>
            </w:r>
          </w:p>
        </w:tc>
        <w:tc>
          <w:tcPr>
            <w:tcW w:w="837" w:type="pct"/>
            <w:vAlign w:val="center"/>
          </w:tcPr>
          <w:p>
            <w:pPr>
              <w:pStyle w:val="14"/>
              <w:tabs>
                <w:tab w:val="left" w:pos="184"/>
              </w:tabs>
              <w:spacing w:before="118"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14"/>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3"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9"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26</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【行政法规】《中华人民共和国政府采购法实施条例》第七十二条第一款。</w:t>
            </w:r>
          </w:p>
        </w:tc>
        <w:tc>
          <w:tcPr>
            <w:tcW w:w="837" w:type="pct"/>
            <w:vAlign w:val="center"/>
          </w:tcPr>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0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9"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p>
        </w:tc>
        <w:tc>
          <w:tcPr>
            <w:tcW w:w="180" w:type="pct"/>
            <w:vAlign w:val="center"/>
          </w:tcPr>
          <w:p>
            <w:pPr>
              <w:pStyle w:val="14"/>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对评审阶段资格发生变化，供应商未依法通知采购人和采购代理机构的行政处罚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【行政法规】《中华人民共和国政府采购法实施条例》第七十二条第二款。</w:t>
            </w:r>
          </w:p>
        </w:tc>
        <w:tc>
          <w:tcPr>
            <w:tcW w:w="837" w:type="pct"/>
            <w:vAlign w:val="center"/>
          </w:tcPr>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7"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28</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对供应商捏造事实、提供虚假材料或者以非法手段取得证明材料进行投诉的行政处罚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【行政法规】《中华人民共和国政府采购法实施条例》第七十三条。</w:t>
            </w:r>
          </w:p>
        </w:tc>
        <w:tc>
          <w:tcPr>
            <w:tcW w:w="837" w:type="pct"/>
            <w:vAlign w:val="center"/>
          </w:tcPr>
          <w:p>
            <w:pPr>
              <w:pStyle w:val="14"/>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8" w:hRule="atLeast"/>
        </w:trPr>
        <w:tc>
          <w:tcPr>
            <w:tcW w:w="134" w:type="pct"/>
            <w:vAlign w:val="center"/>
          </w:tcPr>
          <w:p>
            <w:pPr>
              <w:pStyle w:val="14"/>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29</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对供应商与采购人、采购代理机构恶意串通的行政处罚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85"/>
              </w:tabs>
              <w:spacing w:before="118"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【法律】《中华人民共和国政府采购法》第七十七条。</w:t>
            </w:r>
          </w:p>
          <w:p>
            <w:pPr>
              <w:pStyle w:val="14"/>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【行政法规】《中华人民共和国政府采购法实施条例》第七十四条。</w:t>
            </w:r>
          </w:p>
        </w:tc>
        <w:tc>
          <w:tcPr>
            <w:tcW w:w="837" w:type="pct"/>
            <w:vAlign w:val="center"/>
          </w:tcPr>
          <w:p>
            <w:pPr>
              <w:pStyle w:val="14"/>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30</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23"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对采购人、采购代理机构与供应商恶意串通的行政处罚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85"/>
              </w:tabs>
              <w:spacing w:before="111"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【法律】《中华人民共和国政府采购法》第七十二条。</w:t>
            </w:r>
          </w:p>
          <w:p>
            <w:pPr>
              <w:pStyle w:val="14"/>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【行政法规】《中华人民共和国政府采购法实施条例》第七十四条。</w:t>
            </w:r>
          </w:p>
        </w:tc>
        <w:tc>
          <w:tcPr>
            <w:tcW w:w="837" w:type="pct"/>
            <w:vAlign w:val="center"/>
          </w:tcPr>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方正仿宋_GBK" w:eastAsia="方正仿宋_GBK" w:cs="Times New Roman"/>
                <w:sz w:val="16"/>
                <w:szCs w:val="16"/>
              </w:rPr>
              <w:t>因不履行</w:t>
            </w:r>
            <w:r>
              <w:rPr>
                <w:rFonts w:ascii="Times New Roman" w:hAnsi="方正仿宋_GBK" w:eastAsia="方正仿宋_GBK" w:cs="Times New Roman"/>
                <w:sz w:val="15"/>
                <w:szCs w:val="15"/>
              </w:rPr>
              <w:t>或不正确履行行政职责，有下列情形的，行政机关及相关工作人员应承担相应责任：</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1.</w:t>
            </w:r>
            <w:r>
              <w:rPr>
                <w:rFonts w:ascii="Times New Roman" w:hAnsi="方正仿宋_GBK" w:eastAsia="方正仿宋_GBK" w:cs="Times New Roman"/>
                <w:sz w:val="15"/>
                <w:szCs w:val="15"/>
              </w:rPr>
              <w:t>执法主体、执法权限、执法程序不合法，执法决定不合法或者明显不适当；</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不履行行政执法职责；</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侵害市场主体财产性权益，干扰市场主体合法生产经营活动，限制市场主体平等参与市场竞争；</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执法粗暴、野蛮，造成不良影响；</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利用行政执法职权牟取不正当利益，滥用职权、玩忽职守、徇私舞弊等行为；</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泄露监督检查中知悉的国家秘密和商业秘密，或者将监督检查中取得的资料用于与监督检查无关的事项；</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不按规定将重大行政处罚和重大行政强制决定报送备案；</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不配合、不接受行政执法监督或者弄虚作假；</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9.</w:t>
            </w:r>
            <w:r>
              <w:rPr>
                <w:rFonts w:ascii="Times New Roman" w:hAnsi="方正仿宋_GBK" w:eastAsia="方正仿宋_GBK" w:cs="Times New Roman"/>
                <w:sz w:val="15"/>
                <w:szCs w:val="15"/>
              </w:rPr>
              <w:t>对行政执法监督机关要求整改的事项不按照规定期限办理；</w:t>
            </w:r>
          </w:p>
          <w:p>
            <w:pPr>
              <w:pStyle w:val="14"/>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方正仿宋_GBK" w:eastAsia="方正仿宋_GBK" w:cs="Times New Roman"/>
                <w:sz w:val="15"/>
                <w:szCs w:val="15"/>
              </w:rPr>
              <w:t>拒不执行行政执法监督决定；</w:t>
            </w:r>
          </w:p>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5"/>
                <w:szCs w:val="15"/>
              </w:rPr>
              <w:t>11.</w:t>
            </w:r>
            <w:r>
              <w:rPr>
                <w:rFonts w:ascii="Times New Roman" w:hAnsi="方正仿宋_GBK" w:eastAsia="方正仿宋_GBK" w:cs="Times New Roman"/>
                <w:sz w:val="15"/>
                <w:szCs w:val="15"/>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31</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对政府采购评审专家未按照采购文件规定的评审程序、评审方法和评审标准进行独立评审或者泄露评审文件、评审情况的行政处罚</w:t>
            </w:r>
          </w:p>
        </w:tc>
        <w:tc>
          <w:tcPr>
            <w:tcW w:w="361" w:type="pct"/>
            <w:vAlign w:val="center"/>
          </w:tcPr>
          <w:p>
            <w:pPr>
              <w:pStyle w:val="14"/>
              <w:spacing w:before="119"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0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【行政法规】《中华人民共和国政府采购法实施条例》第七十五条第一款。</w:t>
            </w:r>
          </w:p>
        </w:tc>
        <w:tc>
          <w:tcPr>
            <w:tcW w:w="837" w:type="pct"/>
            <w:vAlign w:val="center"/>
          </w:tcPr>
          <w:p>
            <w:pPr>
              <w:pStyle w:val="14"/>
              <w:tabs>
                <w:tab w:val="left" w:pos="184"/>
              </w:tabs>
              <w:spacing w:before="9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19"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before="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0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0"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32</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对政府采购评审专家与供应商存在利害关系未回避的行政处罚</w:t>
            </w:r>
          </w:p>
        </w:tc>
        <w:tc>
          <w:tcPr>
            <w:tcW w:w="361" w:type="pct"/>
            <w:vAlign w:val="center"/>
          </w:tcPr>
          <w:p>
            <w:pPr>
              <w:pStyle w:val="14"/>
              <w:spacing w:before="112"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spacing w:before="100"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【行政法规】《中华人民共和国政府采购法实施条例》第七十五条第二款、第四款。</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12"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9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134" w:type="pct"/>
            <w:vAlign w:val="center"/>
          </w:tcPr>
          <w:p>
            <w:pPr>
              <w:pStyle w:val="14"/>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33</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18"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对政府采购评审专家收受采购人、采购代理机构、供应商贿赂或者获取其他不正当利益的行政处罚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【行政法规】《中华人民共和国政府采购法实施条例》第七十五条第三款。</w:t>
            </w:r>
          </w:p>
        </w:tc>
        <w:tc>
          <w:tcPr>
            <w:tcW w:w="837" w:type="pct"/>
            <w:vAlign w:val="center"/>
          </w:tcPr>
          <w:p>
            <w:pPr>
              <w:pStyle w:val="14"/>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34</w:t>
            </w:r>
          </w:p>
        </w:tc>
        <w:tc>
          <w:tcPr>
            <w:tcW w:w="180" w:type="pct"/>
            <w:vAlign w:val="center"/>
          </w:tcPr>
          <w:p>
            <w:pPr>
              <w:pStyle w:val="14"/>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对采购人或者其委托的采购代理机构未依法在指定媒体上发布政府采购项目信息的行政处罚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85"/>
              </w:tabs>
              <w:spacing w:before="1" w:line="240" w:lineRule="exact"/>
              <w:ind w:right="5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【法律】《中华人民共和国政府采购法》第七十一条、第七十八条。</w:t>
            </w:r>
          </w:p>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【行政法规】《中华人民共和国政府采购法实施条例》第六十八条。【部门规章】《政府采购信息发布管理办法》第十六条。</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3" w:hRule="atLeast"/>
        </w:trPr>
        <w:tc>
          <w:tcPr>
            <w:tcW w:w="134" w:type="pct"/>
            <w:vAlign w:val="center"/>
          </w:tcPr>
          <w:p>
            <w:pPr>
              <w:pStyle w:val="14"/>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35</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对采购人或者其委托的采购代理机构存在其他违反《政府采购信息发布管理办法》规定行为的行政处罚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【部门规章】《政府采购信息发布管理办法》第十六条。</w:t>
            </w:r>
          </w:p>
        </w:tc>
        <w:tc>
          <w:tcPr>
            <w:tcW w:w="837" w:type="pct"/>
            <w:vAlign w:val="center"/>
          </w:tcPr>
          <w:p>
            <w:pPr>
              <w:pStyle w:val="14"/>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36</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09"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【部门规章】《政府采购非招标采购方式管理办法》第五十一条。</w:t>
            </w:r>
          </w:p>
        </w:tc>
        <w:tc>
          <w:tcPr>
            <w:tcW w:w="837" w:type="pct"/>
            <w:vAlign w:val="center"/>
          </w:tcPr>
          <w:p>
            <w:pPr>
              <w:pStyle w:val="14"/>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7"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8"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37</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【部门规章】《政府采购非招标采购方式管理办法》第五十二条。</w:t>
            </w:r>
          </w:p>
        </w:tc>
        <w:tc>
          <w:tcPr>
            <w:tcW w:w="837" w:type="pct"/>
            <w:vAlign w:val="center"/>
          </w:tcPr>
          <w:p>
            <w:pPr>
              <w:pStyle w:val="14"/>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6"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5"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38</w:t>
            </w:r>
          </w:p>
        </w:tc>
        <w:tc>
          <w:tcPr>
            <w:tcW w:w="180" w:type="pct"/>
            <w:vAlign w:val="center"/>
          </w:tcPr>
          <w:p>
            <w:pPr>
              <w:pStyle w:val="14"/>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对成交供应商未按照采购文件确定的事项签订政府采购合同，或者与采购人另行订立背离合同实质性内容的协议的，成交后无正当理由不与采购人签订合同的，拒绝履行合同义务的行政处罚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【部门规章】《政府采购非招标采购方式管理办法》第五十四条。</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4"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39</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【部门规章】《政府采购非招标采购方式管理办法》第五十五条第一款、第二款。</w:t>
            </w:r>
          </w:p>
        </w:tc>
        <w:tc>
          <w:tcPr>
            <w:tcW w:w="837" w:type="pct"/>
            <w:vAlign w:val="center"/>
          </w:tcPr>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40</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【部门规章】《政府采购货物和服务招标投标管理办法》第七十七条。</w:t>
            </w:r>
          </w:p>
        </w:tc>
        <w:tc>
          <w:tcPr>
            <w:tcW w:w="837" w:type="pct"/>
            <w:vAlign w:val="center"/>
          </w:tcPr>
          <w:p>
            <w:pPr>
              <w:pStyle w:val="14"/>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5"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00" w:lineRule="exact"/>
              <w:ind w:left="74"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361" w:type="pct"/>
            <w:vAlign w:val="center"/>
          </w:tcPr>
          <w:p>
            <w:pPr>
              <w:pStyle w:val="14"/>
              <w:spacing w:before="93"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【部门规章】《政府采购货物和服务招标投标管理办法》第七十八条。</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114"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before="4"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9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before="123" w:line="240" w:lineRule="exact"/>
              <w:ind w:left="73" w:right="8"/>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【部门规章】《政府采购货物和服务招标投标管理办法》第六十二条、第八十一条。</w:t>
            </w:r>
          </w:p>
        </w:tc>
        <w:tc>
          <w:tcPr>
            <w:tcW w:w="837" w:type="pct"/>
            <w:vAlign w:val="center"/>
          </w:tcPr>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before="92"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18"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before="3"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5"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38"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8"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43</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vAlign w:val="center"/>
          </w:tcPr>
          <w:p>
            <w:pPr>
              <w:pStyle w:val="14"/>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对采购人、采购代理机构拒收质疑供应商在法定质疑期内发出的质疑函；对质疑不予答复或者答复与事实明显不符，并不能作出合理说明；拒绝配合财政部门处理投诉事宜的行政处罚</w:t>
            </w:r>
          </w:p>
        </w:tc>
        <w:tc>
          <w:tcPr>
            <w:tcW w:w="361" w:type="pct"/>
            <w:vAlign w:val="center"/>
          </w:tcPr>
          <w:p>
            <w:pPr>
              <w:pStyle w:val="14"/>
              <w:spacing w:line="240" w:lineRule="exact"/>
              <w:ind w:left="120" w:right="120"/>
              <w:jc w:val="left"/>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【部门规章】《政府采购质疑和投诉办法》第三十六条。</w:t>
            </w:r>
          </w:p>
        </w:tc>
        <w:tc>
          <w:tcPr>
            <w:tcW w:w="837" w:type="pct"/>
            <w:vAlign w:val="center"/>
          </w:tcPr>
          <w:p>
            <w:pPr>
              <w:pStyle w:val="14"/>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14"/>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14"/>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14"/>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14"/>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14"/>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14"/>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14"/>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14"/>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14"/>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14"/>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14"/>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0" w:hRule="atLeast"/>
        </w:trPr>
        <w:tc>
          <w:tcPr>
            <w:tcW w:w="134" w:type="pct"/>
            <w:vAlign w:val="center"/>
          </w:tcPr>
          <w:p>
            <w:pPr>
              <w:pStyle w:val="14"/>
              <w:spacing w:before="115"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44</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行政裁决</w:t>
            </w:r>
          </w:p>
        </w:tc>
        <w:tc>
          <w:tcPr>
            <w:tcW w:w="437" w:type="pct"/>
            <w:vAlign w:val="center"/>
          </w:tcPr>
          <w:p>
            <w:pPr>
              <w:pStyle w:val="14"/>
              <w:spacing w:before="105"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对政府采购供应商投诉处理决定</w:t>
            </w:r>
          </w:p>
        </w:tc>
        <w:tc>
          <w:tcPr>
            <w:tcW w:w="361" w:type="pct"/>
            <w:vAlign w:val="center"/>
          </w:tcPr>
          <w:p>
            <w:pPr>
              <w:pStyle w:val="14"/>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【法律】《中华人民共和国政府采购法》第五十五条、第五十六条。</w:t>
            </w:r>
          </w:p>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【部门规章】《政府采购质疑和投诉办法》第十七条、第二十六条。</w:t>
            </w:r>
          </w:p>
        </w:tc>
        <w:tc>
          <w:tcPr>
            <w:tcW w:w="837" w:type="pct"/>
            <w:vAlign w:val="center"/>
          </w:tcPr>
          <w:p>
            <w:pPr>
              <w:pStyle w:val="14"/>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受理责任：对投诉人提交的投诉书和必要的证明材料进行审查，依法作出受理或者不予受理的决定；申请材料齐全、符合法定形式的，应当受理投诉；投诉书内容不符合规定的，应当在收到投诉书</w:t>
            </w: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个工作日内一次性书面通知投诉人补正。补正通知应当载明需要补正的事项和合理的补正期限。未按照补正期限进行补正或者补正后仍不符合规定的，不予受理。</w:t>
            </w:r>
          </w:p>
          <w:p>
            <w:pPr>
              <w:pStyle w:val="14"/>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财政部门处理投诉事项原则上采用书面审查的方式。财政部门认为有必要时，可以进行调查取证或者组织质证。财政部门可以根据法律、法规规定或者职责权限，委托相关单位或者第三方开展调查取证、检验、检测、鉴定。质证应当通知相关当事人到场，并制作质证笔录。质证笔录应当由当事人签字确认。</w:t>
            </w:r>
          </w:p>
          <w:p>
            <w:pPr>
              <w:pStyle w:val="14"/>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决定责任：财政部门作出处理决定，应当制作投诉处理决定书，并加盖公章。</w:t>
            </w:r>
          </w:p>
          <w:p>
            <w:pPr>
              <w:pStyle w:val="14"/>
              <w:tabs>
                <w:tab w:val="left" w:pos="184"/>
              </w:tabs>
              <w:spacing w:before="2"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送达责任：财政部门应当将投诉处理决定书送达投诉人和与投诉事项有关的当事人，并及时将投诉处理结果在省级以上财政部门指定的政府采购信息发布媒体上公告。</w:t>
            </w:r>
          </w:p>
          <w:p>
            <w:pPr>
              <w:pStyle w:val="14"/>
              <w:tabs>
                <w:tab w:val="left" w:pos="194"/>
              </w:tabs>
              <w:spacing w:before="5"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【部门规章】《政府采购质疑和投诉办法》第十八条、第二十一条、第二十三条。</w:t>
            </w:r>
          </w:p>
          <w:p>
            <w:pPr>
              <w:pStyle w:val="14"/>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【部门规章】《政府采购质疑和投诉办法》第二十三条、第二十四条、第二十五条、第二十七条。</w:t>
            </w:r>
          </w:p>
          <w:p>
            <w:pPr>
              <w:pStyle w:val="14"/>
              <w:tabs>
                <w:tab w:val="left" w:pos="183"/>
              </w:tabs>
              <w:spacing w:before="7"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【部门规章】《政府采购质疑和投诉办法》第二十六条、第二十七条、第三十三条。</w:t>
            </w:r>
          </w:p>
          <w:p>
            <w:pPr>
              <w:pStyle w:val="14"/>
              <w:tabs>
                <w:tab w:val="left" w:pos="183"/>
              </w:tabs>
              <w:spacing w:before="4"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【部门规章】《政府采购质疑和投诉办法》第三十四条。</w:t>
            </w:r>
          </w:p>
        </w:tc>
        <w:tc>
          <w:tcPr>
            <w:tcW w:w="822" w:type="pct"/>
            <w:vAlign w:val="center"/>
          </w:tcPr>
          <w:p>
            <w:pPr>
              <w:pStyle w:val="14"/>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before="61"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62"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14"/>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14"/>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14"/>
              <w:tabs>
                <w:tab w:val="left" w:pos="256"/>
              </w:tabs>
              <w:spacing w:before="64"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14"/>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14"/>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【部门规章】《政府采购质疑和投诉办法》第三十八条。</w:t>
            </w:r>
          </w:p>
          <w:p>
            <w:pPr>
              <w:pStyle w:val="14"/>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Align w:val="center"/>
          </w:tcPr>
          <w:p>
            <w:pPr>
              <w:pStyle w:val="14"/>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45</w:t>
            </w:r>
          </w:p>
        </w:tc>
        <w:tc>
          <w:tcPr>
            <w:tcW w:w="180" w:type="pct"/>
            <w:vAlign w:val="center"/>
          </w:tcPr>
          <w:p>
            <w:pPr>
              <w:pStyle w:val="14"/>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行政检查</w:t>
            </w:r>
          </w:p>
        </w:tc>
        <w:tc>
          <w:tcPr>
            <w:tcW w:w="437" w:type="pct"/>
            <w:vAlign w:val="center"/>
          </w:tcPr>
          <w:p>
            <w:pPr>
              <w:pStyle w:val="14"/>
              <w:spacing w:before="90" w:line="240" w:lineRule="exact"/>
              <w:ind w:left="73"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对政府采购活动及集中采购机构的监督检查</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【法律】《中华人民共和国政府采购法》第十三条、第五十九条。</w:t>
            </w:r>
          </w:p>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【行政法规】《中华人民共和国政府采购法实施条例》第六十三条。</w:t>
            </w:r>
          </w:p>
        </w:tc>
        <w:tc>
          <w:tcPr>
            <w:tcW w:w="837" w:type="pct"/>
            <w:vAlign w:val="center"/>
          </w:tcPr>
          <w:p>
            <w:pPr>
              <w:pStyle w:val="14"/>
              <w:tabs>
                <w:tab w:val="left" w:pos="184"/>
              </w:tabs>
              <w:spacing w:before="121"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告知责任；提前向被检查人送达《财政检查通知书》。</w:t>
            </w:r>
          </w:p>
          <w:p>
            <w:pPr>
              <w:pStyle w:val="14"/>
              <w:tabs>
                <w:tab w:val="left" w:pos="184"/>
              </w:tabs>
              <w:spacing w:before="90"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检查责任：必须全面、客观、公正地进行调查，收集证据。在调查、询问时，执法人员不得少于两人，并应当向当事人或者有关人员出示证件，询问当事人应当制作笔录。执法人员与当事人有直接利害关系的，应当回避。</w:t>
            </w:r>
          </w:p>
          <w:p>
            <w:pPr>
              <w:pStyle w:val="14"/>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处理责任；核实财政检查报告以及其他有关材料，对违法事实进行复核，根据复核结果作出处理决定，制作行政处理决定书并送达当事人。</w:t>
            </w:r>
          </w:p>
          <w:p>
            <w:pPr>
              <w:pStyle w:val="14"/>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监管责任：对处理决定执行情况进行监督检查。</w:t>
            </w:r>
          </w:p>
          <w:p>
            <w:pPr>
              <w:pStyle w:val="14"/>
              <w:tabs>
                <w:tab w:val="left" w:pos="19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vAlign w:val="center"/>
          </w:tcPr>
          <w:p>
            <w:pPr>
              <w:pStyle w:val="14"/>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【地方性法规】《四川省财政监督条例》第二十条。</w:t>
            </w:r>
          </w:p>
          <w:p>
            <w:pPr>
              <w:pStyle w:val="14"/>
              <w:tabs>
                <w:tab w:val="left" w:pos="183"/>
              </w:tabs>
              <w:spacing w:before="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14"/>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【地方性法规】《四川省财政监督条例》第二十五条、第二十六条、第二十七条。</w:t>
            </w:r>
          </w:p>
          <w:p>
            <w:pPr>
              <w:pStyle w:val="14"/>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【地方性法规】《四川省财政监督条例》第二十七条。</w:t>
            </w:r>
          </w:p>
        </w:tc>
        <w:tc>
          <w:tcPr>
            <w:tcW w:w="822" w:type="pct"/>
            <w:vAlign w:val="center"/>
          </w:tcPr>
          <w:p>
            <w:pPr>
              <w:pStyle w:val="14"/>
              <w:spacing w:before="94"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tabs>
                <w:tab w:val="left" w:pos="181"/>
              </w:tabs>
              <w:spacing w:before="1"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14"/>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14"/>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14"/>
              <w:tabs>
                <w:tab w:val="left" w:pos="181"/>
              </w:tabs>
              <w:spacing w:before="91"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14"/>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14"/>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14"/>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14"/>
              <w:tabs>
                <w:tab w:val="left" w:pos="256"/>
              </w:tabs>
              <w:spacing w:before="9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vAlign w:val="center"/>
          </w:tcPr>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14"/>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14"/>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9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14"/>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14"/>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14"/>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14"/>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46</w:t>
            </w:r>
          </w:p>
        </w:tc>
        <w:tc>
          <w:tcPr>
            <w:tcW w:w="180" w:type="pct"/>
            <w:vAlign w:val="center"/>
          </w:tcPr>
          <w:p>
            <w:pPr>
              <w:pStyle w:val="14"/>
              <w:spacing w:before="1" w:line="240" w:lineRule="exact"/>
              <w:ind w:right="101"/>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其他行政权力</w:t>
            </w:r>
          </w:p>
        </w:tc>
        <w:tc>
          <w:tcPr>
            <w:tcW w:w="437" w:type="pct"/>
            <w:vAlign w:val="center"/>
          </w:tcPr>
          <w:p>
            <w:pPr>
              <w:pStyle w:val="14"/>
              <w:spacing w:before="103" w:line="240" w:lineRule="exact"/>
              <w:ind w:right="53"/>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国有资产处置审批</w:t>
            </w:r>
          </w:p>
        </w:tc>
        <w:tc>
          <w:tcPr>
            <w:tcW w:w="361" w:type="pct"/>
            <w:vAlign w:val="center"/>
          </w:tcPr>
          <w:p>
            <w:pPr>
              <w:pStyle w:val="14"/>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vAlign w:val="center"/>
          </w:tcPr>
          <w:p>
            <w:pPr>
              <w:pStyle w:val="14"/>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【行政法规】《行政事业性国有资产管理条例》第十九条、第二十一条、第二十二条、第三十八条。</w:t>
            </w:r>
          </w:p>
        </w:tc>
        <w:tc>
          <w:tcPr>
            <w:tcW w:w="83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受理责任：按规定受理市级行政事业性国有资产处置申报，一次性告知补正材料。</w:t>
            </w:r>
          </w:p>
          <w:p>
            <w:pPr>
              <w:pStyle w:val="14"/>
              <w:tabs>
                <w:tab w:val="left" w:pos="190"/>
              </w:tabs>
              <w:spacing w:before="28"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审核责任：审查申报材料，提出审核意见。</w:t>
            </w:r>
          </w:p>
          <w:p>
            <w:pPr>
              <w:pStyle w:val="14"/>
              <w:tabs>
                <w:tab w:val="left" w:pos="190"/>
              </w:tabs>
              <w:spacing w:before="1"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审批责任：对申报事项作出批复。</w:t>
            </w:r>
          </w:p>
          <w:p>
            <w:pPr>
              <w:pStyle w:val="14"/>
              <w:tabs>
                <w:tab w:val="left" w:pos="190"/>
              </w:tabs>
              <w:spacing w:before="4" w:line="240" w:lineRule="exact"/>
              <w:ind w:right="5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监管责任：督促市级行政事业单位和市机关事务服务中心按有关规定和程序办理国有资产处置手续。</w:t>
            </w:r>
          </w:p>
        </w:tc>
        <w:tc>
          <w:tcPr>
            <w:tcW w:w="637" w:type="pct"/>
            <w:vAlign w:val="center"/>
          </w:tcPr>
          <w:p>
            <w:pPr>
              <w:pStyle w:val="14"/>
              <w:spacing w:line="240" w:lineRule="exact"/>
              <w:ind w:right="-15"/>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【行政法规】《行政事业性国有资产管理条例》第三条、第四条、第五条。</w:t>
            </w:r>
          </w:p>
        </w:tc>
        <w:tc>
          <w:tcPr>
            <w:tcW w:w="822" w:type="pct"/>
            <w:vAlign w:val="center"/>
          </w:tcPr>
          <w:p>
            <w:pPr>
              <w:pStyle w:val="14"/>
              <w:spacing w:line="240" w:lineRule="exact"/>
              <w:ind w:right="61"/>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对不履行或不正确履行行政职责的工作人员，追究相应责任：</w:t>
            </w:r>
          </w:p>
          <w:p>
            <w:pPr>
              <w:pStyle w:val="14"/>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配置、使用、处置国有资产未按照规定经集体决策或者履行审批程序。</w:t>
            </w:r>
          </w:p>
          <w:p>
            <w:pPr>
              <w:pStyle w:val="14"/>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非法占有、使用国有资产或采取弄虚作假等方式低价处置国有资产。</w:t>
            </w:r>
          </w:p>
          <w:p>
            <w:pPr>
              <w:pStyle w:val="14"/>
              <w:tabs>
                <w:tab w:val="left" w:pos="19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未按照规定评估国有资产导致国家利益损失。</w:t>
            </w:r>
          </w:p>
        </w:tc>
        <w:tc>
          <w:tcPr>
            <w:tcW w:w="1084" w:type="pct"/>
            <w:vAlign w:val="center"/>
          </w:tcPr>
          <w:p>
            <w:pPr>
              <w:pStyle w:val="14"/>
              <w:spacing w:before="103" w:line="240" w:lineRule="exact"/>
              <w:ind w:right="66"/>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【行政法规】《行政事业性国有资产管理条例》第五十三条、第五十四条。</w:t>
            </w:r>
          </w:p>
        </w:tc>
        <w:tc>
          <w:tcPr>
            <w:tcW w:w="208" w:type="pct"/>
            <w:vAlign w:val="center"/>
          </w:tcPr>
          <w:p>
            <w:pPr>
              <w:pStyle w:val="14"/>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bl>
    <w:p>
      <w:pPr>
        <w:numPr>
          <w:ilvl w:val="0"/>
          <w:numId w:val="2"/>
        </w:numPr>
        <w:spacing w:line="560" w:lineRule="exact"/>
        <w:jc w:val="center"/>
        <w:rPr>
          <w:rFonts w:ascii="Times New Roman" w:hAnsi="Times New Roman" w:eastAsia="方正小标宋简体"/>
          <w:sz w:val="32"/>
          <w:szCs w:val="32"/>
        </w:rPr>
      </w:pPr>
      <w:r>
        <w:rPr>
          <w:rFonts w:ascii="Times New Roman" w:hAnsi="方正小标宋简体" w:eastAsia="方正小标宋简体"/>
          <w:sz w:val="32"/>
          <w:szCs w:val="32"/>
        </w:rPr>
        <w:t>巴中市自然资源和规划局</w:t>
      </w:r>
    </w:p>
    <w:tbl>
      <w:tblPr>
        <w:tblStyle w:val="11"/>
        <w:tblW w:w="15784"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570"/>
        <w:gridCol w:w="915"/>
        <w:gridCol w:w="960"/>
        <w:gridCol w:w="1185"/>
        <w:gridCol w:w="2790"/>
        <w:gridCol w:w="2010"/>
        <w:gridCol w:w="3285"/>
        <w:gridCol w:w="298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restar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570" w:type="dxa"/>
            <w:vMerge w:val="restart"/>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3060" w:type="dxa"/>
            <w:gridSpan w:val="3"/>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11700" w:type="dxa"/>
            <w:gridSpan w:val="5"/>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continue"/>
            <w:vAlign w:val="center"/>
          </w:tcPr>
          <w:p>
            <w:pPr>
              <w:spacing w:line="240" w:lineRule="exact"/>
              <w:rPr>
                <w:rFonts w:ascii="Times New Roman" w:hAnsi="Times New Roman" w:eastAsia="方正小标宋简体"/>
                <w:sz w:val="16"/>
                <w:szCs w:val="16"/>
              </w:rPr>
            </w:pPr>
          </w:p>
        </w:tc>
        <w:tc>
          <w:tcPr>
            <w:tcW w:w="570" w:type="dxa"/>
            <w:vMerge w:val="continue"/>
            <w:vAlign w:val="center"/>
          </w:tcPr>
          <w:p>
            <w:pPr>
              <w:spacing w:line="240" w:lineRule="exact"/>
              <w:rPr>
                <w:rFonts w:ascii="Times New Roman" w:hAnsi="Times New Roman" w:eastAsia="方正小标宋简体"/>
                <w:sz w:val="16"/>
                <w:szCs w:val="16"/>
              </w:rPr>
            </w:pPr>
          </w:p>
        </w:tc>
        <w:tc>
          <w:tcPr>
            <w:tcW w:w="915"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960"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1185"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2790"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2010"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3285"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2985"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630" w:type="dxa"/>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47</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勘查矿产资源审批</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申请人提交的申请材料不齐全、不符合法定形式，不一次性告知申请人必须补正的全部内容的；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48</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开采矿产资源审批</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申请人提交的申请材料不齐全、不符合法定形式，不一次告知申请人必须补正的全部内容的；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49</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对依法收回国有土地使用权当事人拒不交出土地、临时使用土地期满拒不归还或者不按照批准的用途使用国有土地的行政处罚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【行政法规】《中华人民共和国土地管理法实施条例》第五十九条。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立案责任：发现依法收回土地使用权当事人拒不交出土地、临时使用土地期满拒不归还或者不按照批准的用途使用国有土地的，予以审查，决定是否立案。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50</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对买卖或者以其他形式非法转让土地的行政处罚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【法律】《中华人民共和国土地管理法》第七十四条。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w:t>
            </w:r>
          </w:p>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施条例》第五十五条。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立案责任：发现买卖或者以其他形式非法转让土地的，予以审查，决定是否立案。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对未经批准擅自转让探矿权、采矿权的行政处罚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【行政法规】《探矿权采矿权转让管理办法》第十四条。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立案责任：发现未经批准擅自转让探矿权、采矿权的，予以审查，决定是否立案。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对以承包等方式擅自转让采矿权的行政处罚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【行政法规】《探矿权采矿权转让管理办法》第十五条。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立案责任：发现以承包等方式擅自转让采矿权的，予以审查，决定是否立案。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对不办理勘查许可证变更登记或者注销登记手续的行政处罚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【行政法规】《矿产资源勘查区块登记管理办法》第三十条。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【地方性法规】《四川省矿产资源管理条例》第三十八条第一款。</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立案责任：发现不办理勘查许可证变更登记或者注销登记手续的，予以审查，决定是否立案。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对不办理采矿许可证变更登记或者注销登记手续的行政处罚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【行政法规】《矿产资源开采登记管理办法》第二十二条。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1.立案责任：发现不办理采矿许可证变更登记或者注销登记手续的，予以审查，决定是否立案。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对不按期缴纳勘查区块登记管理办法规定应当缴纳费用的行政处罚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【行政法规】《矿产资源勘查区块登记管理办法》第三十一条。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1.立案责任：发现不按期缴纳勘查区块登记管理办法规定应当缴纳费用的，予以审查，决定是否立案。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56</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对不按照矿产资源开采登记管理办法的规定，不按期缴纳应当缴纳费用的行政处罚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【行政法规】《矿产资源开采登记管理办法》第二十一条。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1.立案责任：发现不按照矿产资源开采登记管理办法的规定，不按期缴纳应当缴纳费用的，予以审查，决定是否立案。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57</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对违反规定未取得采矿许可证擅自采矿的，擅自进入国家规划矿区、对国民经济具有重要价值的矿区范围采矿的，擅自开采国家规定实行保护性开采的特定矿种的行政处罚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【法律】《中华人民共和国矿产资源法》第三十九条、第四十条。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1.立案责任：发现违反规定未取得采矿许可证擅自采矿的，擅自进入国家规划矿区、对国民经济具有重要价值的矿区范围采矿的，擅自开采国家规定实行保护性开采的特定矿种的，予以审查，决定是否立案。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hint="default"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hint="default"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hint="default"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hint="default"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58</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对超越批准的矿区范围采矿的行政处罚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【法律】《中华人民共和国矿产资源法》第四十条。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1.立案责任：发现超越批准的矿区范围采矿的，予以审查，决定是否立案。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59</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对买卖、出租或者以其他形式非法转让矿产资源的行政处罚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1.【法律】《中华人民共和国矿产资源法》第四十二条。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2.【行政法规】《中华人民共和国矿产资源法实施细则》第四十二条。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1.立案责任：发现买卖、出租或者以其他形式非法转让矿产资源的，予以审查，决定是否立案。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60</w:t>
            </w:r>
          </w:p>
        </w:tc>
        <w:tc>
          <w:tcPr>
            <w:tcW w:w="570"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对转让房地产时，不符合法律规定的条件非法转让以出让方式取得的土地使用权的行政处罚</w:t>
            </w:r>
          </w:p>
        </w:tc>
        <w:tc>
          <w:tcPr>
            <w:tcW w:w="960"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1.【法律】《中华人民共和国城市房地产管理法》第三十九条第一款、第六十六条。</w:t>
            </w:r>
          </w:p>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2.【行政法规】《城市房地产开发经营管理条例》第三十五条。</w:t>
            </w:r>
          </w:p>
        </w:tc>
        <w:tc>
          <w:tcPr>
            <w:tcW w:w="2790" w:type="dxa"/>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1.立案责任：发现转让房地产时，不符合法律规定的条件非法转让以出让方式取得的土地使用权的，予以审查，决定是否立案。</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61</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对转让房地产时未经批准，非法转让以划拨方式取得的土地使用权的，或者经过批准转让以划拨方式取得的土地使用权，但未按规定缴纳土地使用权出让金的行政处罚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【法律】《中华人民共和国城市房地产管理法》第四十条第一款、第六十七条。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1.立案责任：发现转让房地产时未经批准，非法转让以划拨方式取得的土地使用权的，或者经过批准转让以划拨方式取得的土地使用权，但未按规定缴纳土地使用权出让金的，予以审查，决定是否立案。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0"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62</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对擅自转让房地产开发项目的行政处罚</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【行政法规】《城市房地产开发经营管理条例》第三十五条。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1.立案责任：发现擅自转让房地产开发项目的，予以审查，决定是否立案。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7"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63</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矿业权出让收益征收</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2.【行政法规】《矿产资源开采登记管理办法》第十条。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1.公示责任：公示矿业权出让收益征收的依据、标准、应当提交的材料；一次性告知补正材料。</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2.审查责任：对申请材料进行审查，提出征收意见。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3.决定责任：作出行政征收的决定。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4.征收责任：收缴相应款项并交付相关票据。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5.其他责任：法律法规规章文件规定应履行的其他责任。</w:t>
            </w:r>
          </w:p>
        </w:tc>
        <w:tc>
          <w:tcPr>
            <w:tcW w:w="2010" w:type="dxa"/>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1.【部门规章】《矿业权出让收益征收管理暂行办法》第六条、第八条、第九条、第十条、第十九条。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3.同1。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4.【部门规章】《矿业权出让收益征收管理暂行办法》第十九条、第二十四条。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5.《中共巴中市委办公室 巴中市人民政府办公室关于印发&lt;巴中市自然资源和规划局职能配置、内设机构和人员编制规定&gt;的通知》第四条。</w:t>
            </w:r>
          </w:p>
        </w:tc>
        <w:tc>
          <w:tcPr>
            <w:tcW w:w="3285" w:type="dxa"/>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1.不在办公场所公示依法应当公示的材料的；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2.申请人提交的申请材料不齐全、不符合法定形式，未一次性告知申请人必须补正的全部内容的；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3.要求申请人提供与其申请的行政审批事项无关的其他材料的；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4.对符合法定条件的行政审批申请不予受理或者受理后不按规定出具有效书面凭证的；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6.依法应当根据招标、拍卖结果择优作出准予行政审批决定，未经招标、拍卖，或者不根据招标、拍卖结果择优作出准予行政审批决定的；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7.未按规定现场办结或者按时办结的；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8.不按照法定项目和标准收费的；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9.在履行职权过程中滥用职权、玩忽职守、徇私舞弊的；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64</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矿业权占用费征收</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2.【行政法规】《矿产资源开采登记管理办法》第九条、第十一条。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3.【行政法规】《矿产资源勘查区块登记管理办法》第十二条。</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1.公示责任：公示矿业权占用费征收的依据、标准、应当提交的材料；一次性告知补正材料。</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2.审查责任：对申请材料进行审查，提出征收意见。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3.决定责任：作出行政征收的决定。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4.征收责任：收缴相应款项并交付相关票据。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5.其他责任：法律法规规章文件规定应履行的其他责任。</w:t>
            </w:r>
          </w:p>
        </w:tc>
        <w:tc>
          <w:tcPr>
            <w:tcW w:w="2010" w:type="dxa"/>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1-1.【行政法规】《矿产资源开采登记管理办法》第十一条。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1-2.【行政法规】《矿产资源勘查区块登记管理办法》第十四条。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5.《中共巴中市委办公室 巴中市人民政府办公室关于印发&lt;巴中市自然资源和规划局职能配置、内设机构和人员编制规定&gt;的通知》第四条。</w:t>
            </w:r>
          </w:p>
        </w:tc>
        <w:tc>
          <w:tcPr>
            <w:tcW w:w="3285" w:type="dxa"/>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1.不在办公场所公示依法应当公示的材料的；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2.申请人提交的申请材料不齐全、不符合法定形式，未一次性告知申请人必须补正的全部内容的；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3.要求申请人提供与其申请的行政审批事项无关的其他材料的；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4.对符合法定条件的行政审批申请不予受理或者受理后不按规定出具有效书面凭证的；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6.依法应当根据招标、拍卖结果择优作出准予行政审批决定，未经招标、拍卖，或者不根据招标、拍卖结果择优作出准予行政审批决定的；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7.未按规定现场办结或者按时办结的；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8.不按照法定项目和标准收费的；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9.在履行职权过程中滥用职权、玩忽职守、徇私舞弊的；</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454" w:type="dxa"/>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65</w:t>
            </w:r>
          </w:p>
        </w:tc>
        <w:tc>
          <w:tcPr>
            <w:tcW w:w="57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行政检查</w:t>
            </w:r>
          </w:p>
        </w:tc>
        <w:tc>
          <w:tcPr>
            <w:tcW w:w="91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对违反土地管理法律、法规的监督检查</w:t>
            </w:r>
          </w:p>
        </w:tc>
        <w:tc>
          <w:tcPr>
            <w:tcW w:w="96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【法律】《中华人民共和国土地管理法》第六十七条第一款。</w:t>
            </w:r>
          </w:p>
        </w:tc>
        <w:tc>
          <w:tcPr>
            <w:tcW w:w="279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检查责任：检查应按有关程序进行，指定人员负责，及时组织调查取证，与当事人有直接利害关系的应当回避。检查人员不得少于两人，调查时应当出示执法证件，允许当事人陈述申辩。检查人员应当保守有关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2.审查责任：对违法事实、证据资料、调查程序、法律适用、当事人陈述理由等进行审查，提出初步处理意见。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3.告知责任：对违法事实、处理依据、处理意见告知，听取当事人陈述申辩。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4.决定责任：根据违法事实以及当事人陈述意见作出处理决定，重大案件应组织集体审议。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5.其他法律法规规章文件规定应履行的责任。</w:t>
            </w:r>
          </w:p>
        </w:tc>
        <w:tc>
          <w:tcPr>
            <w:tcW w:w="201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1.【法律】《中华人民共和国行政处罚法》第四十二条、第四十三条、第四十五条、第五十条、第五十五条。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3.【法律】《中华人民共和国行政处罚法》第六十二条、第六十三条。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4.【法律】《中华人民共和国行政处罚法》第五十七条、第六十五条。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5.【法律】《中华人民共和国监察法》第六十五条。</w:t>
            </w:r>
          </w:p>
        </w:tc>
        <w:tc>
          <w:tcPr>
            <w:tcW w:w="32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1.实施行政检查应当回避而不回避；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2.对发现的自然资源违法行为未依法制止；</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3.不依法履行职责，致使案件调查、审核出现重大失误；</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4.违反保密规定，向案件当事人泄露案情，造成严重后果的；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5.有其他徇私舞弊、玩忽职守、滥用职权行为；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6.不依法履行告知义务；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7.实施行政检查违反规定。</w:t>
            </w:r>
          </w:p>
        </w:tc>
        <w:tc>
          <w:tcPr>
            <w:tcW w:w="2985"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1.【行政法规】《行政机关公务员处分条例》第十九条第一款第（五）项。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2.【部门规章】《自然资源执法监督规定》第二十九条第（一）项。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3.【部门规章】《自然资源执法监督规定》第二十九条第（三）项。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4.【部门规章】《自然资源执法监督规定》第二十九条第（四）项。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5.【部门规章】《自然资源执法监督规定》第二十九条第（六）项。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6.【地方性法规】《四川省行政机关工作人员行政过错责任追究试行办法》第七条第一款第（三）项。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7.【地方性法规】《四川省行政机关工作人员行政过错责任追究试行办法》第十条。</w:t>
            </w:r>
          </w:p>
        </w:tc>
        <w:tc>
          <w:tcPr>
            <w:tcW w:w="630" w:type="dxa"/>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bl>
    <w:p>
      <w:pPr>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hint="eastAsia" w:ascii="Times New Roman" w:hAnsi="Times New Roman" w:eastAsia="方正小标宋简体"/>
          <w:sz w:val="32"/>
          <w:szCs w:val="32"/>
        </w:rPr>
      </w:pPr>
    </w:p>
    <w:p>
      <w:pPr>
        <w:pStyle w:val="6"/>
        <w:rPr>
          <w:rFonts w:hint="eastAsia" w:ascii="Times New Roman" w:hAnsi="Times New Roman" w:eastAsia="方正小标宋简体"/>
          <w:sz w:val="32"/>
          <w:szCs w:val="32"/>
        </w:rPr>
      </w:pPr>
    </w:p>
    <w:p>
      <w:pPr>
        <w:pStyle w:val="6"/>
        <w:rPr>
          <w:rFonts w:ascii="Times New Roman" w:hAnsi="Times New Roman" w:eastAsia="方正小标宋简体"/>
          <w:sz w:val="32"/>
          <w:szCs w:val="32"/>
        </w:rPr>
      </w:pPr>
    </w:p>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巴中市住房和城乡建设局</w:t>
      </w:r>
    </w:p>
    <w:tbl>
      <w:tblPr>
        <w:tblStyle w:val="11"/>
        <w:tblW w:w="5049" w:type="pct"/>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143"/>
        <w:gridCol w:w="928"/>
        <w:gridCol w:w="1007"/>
        <w:gridCol w:w="2936"/>
        <w:gridCol w:w="2397"/>
        <w:gridCol w:w="2441"/>
        <w:gridCol w:w="298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restar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序号</w:t>
            </w:r>
          </w:p>
        </w:tc>
        <w:tc>
          <w:tcPr>
            <w:tcW w:w="180" w:type="pct"/>
            <w:vMerge w:val="restar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权力分类</w:t>
            </w:r>
          </w:p>
        </w:tc>
        <w:tc>
          <w:tcPr>
            <w:tcW w:w="975" w:type="pct"/>
            <w:gridSpan w:val="3"/>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权力清单</w:t>
            </w:r>
          </w:p>
        </w:tc>
        <w:tc>
          <w:tcPr>
            <w:tcW w:w="3709" w:type="pct"/>
            <w:gridSpan w:val="5"/>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continue"/>
            <w:vAlign w:val="center"/>
          </w:tcPr>
          <w:p>
            <w:pPr>
              <w:spacing w:line="360" w:lineRule="exact"/>
              <w:jc w:val="center"/>
              <w:rPr>
                <w:rFonts w:ascii="Times New Roman" w:hAnsi="Times New Roman" w:eastAsia="方正小标宋简体"/>
                <w:sz w:val="16"/>
                <w:szCs w:val="16"/>
              </w:rPr>
            </w:pPr>
          </w:p>
        </w:tc>
        <w:tc>
          <w:tcPr>
            <w:tcW w:w="180" w:type="pct"/>
            <w:vMerge w:val="continue"/>
            <w:vAlign w:val="center"/>
          </w:tcPr>
          <w:p>
            <w:pPr>
              <w:spacing w:line="360" w:lineRule="exact"/>
              <w:jc w:val="center"/>
              <w:rPr>
                <w:rFonts w:ascii="Times New Roman" w:hAnsi="Times New Roman" w:eastAsia="方正小标宋简体"/>
                <w:sz w:val="16"/>
                <w:szCs w:val="16"/>
              </w:rPr>
            </w:pPr>
          </w:p>
        </w:tc>
        <w:tc>
          <w:tcPr>
            <w:tcW w:w="362"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事项名称</w:t>
            </w:r>
          </w:p>
        </w:tc>
        <w:tc>
          <w:tcPr>
            <w:tcW w:w="294"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实施主体</w:t>
            </w:r>
          </w:p>
        </w:tc>
        <w:tc>
          <w:tcPr>
            <w:tcW w:w="318"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实施依据</w:t>
            </w:r>
          </w:p>
        </w:tc>
        <w:tc>
          <w:tcPr>
            <w:tcW w:w="931"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w:t>
            </w:r>
          </w:p>
        </w:tc>
        <w:tc>
          <w:tcPr>
            <w:tcW w:w="760"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责任事项依据</w:t>
            </w:r>
          </w:p>
        </w:tc>
        <w:tc>
          <w:tcPr>
            <w:tcW w:w="774"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追责情形</w:t>
            </w:r>
          </w:p>
        </w:tc>
        <w:tc>
          <w:tcPr>
            <w:tcW w:w="948"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追责依据</w:t>
            </w:r>
          </w:p>
        </w:tc>
        <w:tc>
          <w:tcPr>
            <w:tcW w:w="294" w:type="pct"/>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66</w:t>
            </w:r>
          </w:p>
        </w:tc>
        <w:tc>
          <w:tcPr>
            <w:tcW w:w="1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工程建设项目招标投标活动投诉的处理</w:t>
            </w:r>
          </w:p>
        </w:tc>
        <w:tc>
          <w:tcPr>
            <w:tcW w:w="29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2.【行政法规】《中华人民共和国招标投标法实施条例》第六十条、第六十一条。</w:t>
            </w:r>
          </w:p>
        </w:tc>
        <w:tc>
          <w:tcPr>
            <w:tcW w:w="93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1.审查、告知责任：对投诉是否符合条件进行审查，并将结果书面告知投诉人。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2.处理、告知责任：根据调查和取证情况，对投诉事项进行审查，按照规定作出处理决定，并以书面形式通知有关当事人。</w:t>
            </w:r>
          </w:p>
        </w:tc>
        <w:tc>
          <w:tcPr>
            <w:tcW w:w="76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1.【部门规章】《工程建设项目招标投标活动投诉处理办法》第十一条。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2.【部门规章】《工程建设项目招标投标活动投诉处理办法》第二十条、第二十一条。</w:t>
            </w:r>
          </w:p>
        </w:tc>
        <w:tc>
          <w:tcPr>
            <w:tcW w:w="77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3.【部门规章】《工程建设项目招标投标活动投诉处理办法》第二十七条、第二十八条。</w:t>
            </w:r>
          </w:p>
        </w:tc>
        <w:tc>
          <w:tcPr>
            <w:tcW w:w="29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134" w:type="pct"/>
            <w:vAlign w:val="center"/>
          </w:tcPr>
          <w:p>
            <w:pPr>
              <w:pStyle w:val="14"/>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67</w:t>
            </w:r>
          </w:p>
        </w:tc>
        <w:tc>
          <w:tcPr>
            <w:tcW w:w="1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建设工程招标投标情况书面报告</w:t>
            </w:r>
          </w:p>
        </w:tc>
        <w:tc>
          <w:tcPr>
            <w:tcW w:w="29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【法律】《中华人民共和国招标投标法》第四十七条。</w:t>
            </w:r>
          </w:p>
        </w:tc>
        <w:tc>
          <w:tcPr>
            <w:tcW w:w="93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1.受理责任：受理房屋建筑和市政基础设施建设工程招标投标情况书面报告，一次性告知补正材料，依法受理或不予受理（不予受理应当告知理由）。</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办理责任：书面报告内容完备，未发现招标投标活动违法违规行为的及时办理；书面报告内容不完备的，告知招标人补正相关材料后重新提交；因投诉处理，已暂停招标投标活动的，告知招标人待投诉处理完毕，依法开展后续工作后重新提交；对招标活动中出现违法违规情形的，依法处理。</w:t>
            </w:r>
          </w:p>
        </w:tc>
        <w:tc>
          <w:tcPr>
            <w:tcW w:w="76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【部门规章】《房屋建筑和市政基础设施工程施工招标投标管理办法》第五十三条。</w:t>
            </w:r>
          </w:p>
        </w:tc>
        <w:tc>
          <w:tcPr>
            <w:tcW w:w="77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【法律】《中华人民共和国招标投标法》第六十三条。</w:t>
            </w:r>
          </w:p>
        </w:tc>
        <w:tc>
          <w:tcPr>
            <w:tcW w:w="29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巴中市综合行政执法局</w:t>
      </w:r>
    </w:p>
    <w:tbl>
      <w:tblPr>
        <w:tblStyle w:val="11"/>
        <w:tblW w:w="4814"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99"/>
        <w:gridCol w:w="1246"/>
        <w:gridCol w:w="795"/>
        <w:gridCol w:w="1095"/>
        <w:gridCol w:w="2755"/>
        <w:gridCol w:w="2045"/>
        <w:gridCol w:w="3073"/>
        <w:gridCol w:w="193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序号</w:t>
            </w:r>
          </w:p>
        </w:tc>
        <w:tc>
          <w:tcPr>
            <w:tcW w:w="199" w:type="pct"/>
            <w:vMerge w:val="restar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权力分类</w:t>
            </w:r>
          </w:p>
        </w:tc>
        <w:tc>
          <w:tcPr>
            <w:tcW w:w="1042" w:type="pct"/>
            <w:gridSpan w:val="3"/>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权力清单</w:t>
            </w:r>
          </w:p>
        </w:tc>
        <w:tc>
          <w:tcPr>
            <w:tcW w:w="3586" w:type="pct"/>
            <w:gridSpan w:val="5"/>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tcPr>
          <w:p>
            <w:pPr>
              <w:spacing w:line="380" w:lineRule="exact"/>
              <w:rPr>
                <w:rFonts w:ascii="Times New Roman" w:hAnsi="Times New Roman" w:eastAsia="方正小标宋简体"/>
                <w:sz w:val="18"/>
                <w:szCs w:val="16"/>
              </w:rPr>
            </w:pPr>
          </w:p>
        </w:tc>
        <w:tc>
          <w:tcPr>
            <w:tcW w:w="199" w:type="pct"/>
            <w:vMerge w:val="continue"/>
          </w:tcPr>
          <w:p>
            <w:pPr>
              <w:spacing w:line="380" w:lineRule="exact"/>
              <w:rPr>
                <w:rFonts w:ascii="Times New Roman" w:hAnsi="Times New Roman" w:eastAsia="方正小标宋简体"/>
                <w:sz w:val="18"/>
                <w:szCs w:val="16"/>
              </w:rPr>
            </w:pPr>
          </w:p>
        </w:tc>
        <w:tc>
          <w:tcPr>
            <w:tcW w:w="414"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事项名称</w:t>
            </w:r>
          </w:p>
        </w:tc>
        <w:tc>
          <w:tcPr>
            <w:tcW w:w="264"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实施主体</w:t>
            </w:r>
          </w:p>
        </w:tc>
        <w:tc>
          <w:tcPr>
            <w:tcW w:w="364"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实施依据</w:t>
            </w:r>
          </w:p>
        </w:tc>
        <w:tc>
          <w:tcPr>
            <w:tcW w:w="916"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w:t>
            </w:r>
          </w:p>
        </w:tc>
        <w:tc>
          <w:tcPr>
            <w:tcW w:w="680"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责任事项依据</w:t>
            </w:r>
          </w:p>
        </w:tc>
        <w:tc>
          <w:tcPr>
            <w:tcW w:w="1022"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追责情形</w:t>
            </w:r>
          </w:p>
        </w:tc>
        <w:tc>
          <w:tcPr>
            <w:tcW w:w="645"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追责依据</w:t>
            </w:r>
          </w:p>
        </w:tc>
        <w:tc>
          <w:tcPr>
            <w:tcW w:w="322" w:type="pct"/>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68</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对工程建设项目中招标代理机构泄漏应当保密的与招标投标活动有关的情况和资料的，或者与招标人、投标人串通损害国家利益、社会公众利益或者他人合法权益的处罚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1.立案责任：发现工程建设项目中招标代理机构在开标前泄漏应当保密的与招标有关的情况和资料的，或者与招标人、投标人串通损害国家利益、社会公众利益或投标人利益的，予以审查，决定是否立案。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2.调查责任：对立案的案件，指定专人负责，及时组织调查取证，与当事人有直接利害关系的应当回避。3执法人员不得少于两人，调查时应出示证件，允许当事人辩解。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p>
            <w:pPr>
              <w:pStyle w:val="14"/>
              <w:spacing w:line="240" w:lineRule="exact"/>
              <w:ind w:right="63"/>
              <w:rPr>
                <w:rFonts w:ascii="Times New Roman" w:hAnsi="Times New Roman" w:eastAsia="方正仿宋_GBK" w:cs="Times New Roman"/>
                <w:sz w:val="16"/>
                <w:szCs w:val="16"/>
              </w:rPr>
            </w:pP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69</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对工程建设项目中招标人以不合理的条件限制或者排斥潜在投标人的，对潜在投标人实行歧视待遇的，强制要求投标人组成联合体共同投标的，或者限制投标人之间竞争的行政处罚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【法律】《中华人民共和国招标投标法》第五十一条。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不合理的条件限制或者排斥潜在投标人的，对潜在投标人实行歧视待遇的，强制要求投标人组成联合体共同投标的，或者限制投标人之间竞争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70</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对工程建设项目中依法必须进行招标的项目的招标人向他人透露已获取招标文件的潜在投标人的名称、数量或者可能影响公平竞争的有关招标投标的其他情况的，或者泄露标底的行政处罚</w:t>
            </w:r>
          </w:p>
        </w:tc>
        <w:tc>
          <w:tcPr>
            <w:tcW w:w="264"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【法律】《中华人民共和国招标投标法》第五十二条第一款。</w:t>
            </w:r>
          </w:p>
        </w:tc>
        <w:tc>
          <w:tcPr>
            <w:tcW w:w="916"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依法必须进行招标的项目的招标人向他人透露已获取招标文件的潜在投标人的名称、数量或者可能影响公平竞争的有关招标投标的其他情况的，或者泄露标底的，予以审查，决定是否立案。</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【法律】《中华人民共和国招标投标法》第五十三条。</w:t>
            </w:r>
          </w:p>
        </w:tc>
        <w:tc>
          <w:tcPr>
            <w:tcW w:w="916"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投标人以他人名义投标或者以其他方式弄虚作假，骗取中标的，投标人相互串通投标或者与招标人串通投标的，投标人以向招标人或者评标委员会成员行贿的手段谋取中标的，予以审查，决定是否立案。</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【法律】《中华人民共和国招标投标法》第五十六条。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评标委员会成员收受投标人的财物或者其他好处的，评标委员会成员或者参加评标的有关工作人员向他人透露对投标文件的评审和比较、中标候选人的推荐以及与评标有关的其他情况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4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73</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对工程建设项目中招标人在评标委员会依法推荐的中标候选人以外确定中标人的，依法必须进行招标的项目在所有投标被评标委员会否决后自行确定中标人的行政处罚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【法律】《中华人民共和国招标投标法》第五十七条。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1.立案责任：发现工程建设项目中招标人在评标委员会依法推荐的中标候选人以外确定中标人的，依法必须进行招标的项目在所有投标被评标委员会否决后自行确定中标人的，予以审查，决定是否立案。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74</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对必须</w:t>
            </w:r>
            <w:r>
              <w:rPr>
                <w:rFonts w:ascii="Times New Roman" w:hAnsi="Times New Roman" w:eastAsia="方正仿宋_GBK" w:cs="Times New Roman"/>
                <w:sz w:val="15"/>
                <w:szCs w:val="15"/>
              </w:rPr>
              <w:t>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1.立案责任：发现在必须进行招标的项目，招标人存在《四川省国家投资工程建设项目招标投标条例》第四十二条第一款所列情形的，予以审查，决定是否立案。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75</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存在招标文件、资格预审文件的发售、澄清、修改的时限，或者确定的提交资格预审申请文件、投标文件的时限不符合《中华人民共和国招标投标法》与《中华人民共和国招标投标法实施条例》规定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存在招标文件、资格预审文件的发售、澄清、修改的时限，或者确定的提交资格预审申请文件、投标文件的时限不符合《招标投标法》与《招标投标法实施条例》规定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76</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【地方性法规】《四川省国家投资工程建设项目招标投标条例》第四十一条。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77</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对工程建设项目中招标人或者招标代理机构不按规定提交招标投标情况的备案材料或提供虚假备案材料的行政处罚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【地方性法规】《四川省国家投资工程建设项目招标投标条例》第四十六条。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1.立案责任：发现工程建设项目中招标人或者招标代理机构不按规定提交招标投标情况的备案材料或提供虚假备案材料的，予以审查，决定是否立案。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78</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【地方性法规】《四川省国家投资工程建设项目招标投标条例》第四十四条。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对工程建设项目中招标人以发出中标通知书为条件，向中标人提出背离招标和投标文件内容要求的行政处罚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【地方性法规】《四川省国家投资工程建设项目招标投标条例》第四十七条。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1.立案责任：发现工程建设项目中招标人以发出中标通知书为条件，向中标人提出背离招标和投标文件内容要求的，予以审查，决定是否立案。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80</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对工程建设项目中招标代理机构及其人员违反招标代理合同约定安排非本机构专职技术人员负责该项招标代理工作、向招标人和投标人收取的费用不符合国家有关规定的行政处罚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【政府规章】《四川省工程建设项目招标代理办法》第十八条、第三十一条。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及其人员违反招标代理合同约定安排非本机构专职技术人员负责该项招标代理工作、向招标人和投标人收取的费用不符合国家有关规定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81</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对工程建设项目中招标人及其工作人员以违法压价、操纵招标投标为条件选择招标代理机构的行政处罚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1.立案责任：发现工程建设项目中招标人及其工作人员以违法压价、操纵招标投标为条件选择招标代理机构的，予以审查，决定是否立案。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0"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82</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对招标人超过《中华人民共和国招投标法实施条例》规定的比例收取投标保证金、履约保证金或者不按照规定退还投标保证金及银行同期存款利息的行政处罚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【行政法规】《中华人民共和国招标投标法实施条例》第六十六条。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1.立案责任：发现招标人超过《中华人民共和国招投标法实施条例》规定的比例收取投标保证金、履约保证金或者不按照规定退还投标保证金及银行同期存款利息的，予以审查，决定是否立案。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83</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对依法必须进行招标的项目的招标人不按照规定组建评标委员会，或者确定、更换评标委员会成员违反《招标投标法》和《招投标法实施条例》规定的行政处罚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不按照规定组建评标委员会，或者确定、更换评标委员会成员违反《中华人民共和国招标投标法》和《中华人民共和国招投标法实施条例》规定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84</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【行政法规】《中华人民共和国招标投标法实施条例》第七十三条。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无正当理由不发出中标通知书，不按照规定确定中标人，中标通知书发出后无正当理由改变中标结果，无正当理由不与中标人订立合同，在订立合同时向中标人提出附加条件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85</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对除因不可抗力外，招标人在发布招标公告、发出投标邀请书或者招标文件后终止招标的行政处罚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1.立案责任：发现除因不可抗力外，招标人在发布招标公告、发出投标邀请书或者招标文件后终止招标的，予以审查，决定是否立案。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5" w:hRule="atLeast"/>
        </w:trPr>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86</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对工程建设项目中中标人不按照与招标人订立的合同履行义务，情节严重的行政处罚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【法律】《中华人民共和国招标投标法》第六十条第二款。</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1.立案责任：发现工程建设项目中中标人不按照与招标人订立的合同履行义务，情节严重的，予以审查，决定是否立案。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1"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87</w:t>
            </w:r>
          </w:p>
        </w:tc>
        <w:tc>
          <w:tcPr>
            <w:tcW w:w="199"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对工程建设项目勘察设计招标人与中标人不按照招标文件和中标人的投标文件订立合同的行政处罚</w:t>
            </w:r>
          </w:p>
        </w:tc>
        <w:tc>
          <w:tcPr>
            <w:tcW w:w="2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4"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【部门规章】《工程建设项目勘察设计招标投标办法》第五十五条。</w:t>
            </w:r>
          </w:p>
        </w:tc>
        <w:tc>
          <w:tcPr>
            <w:tcW w:w="91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立案责任：发现工程建设项目勘察设计招标人与中标人不按照招标文件和中标人的投标文件订立合同的，予以审查，决定是否立案。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2"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rPr>
          <w:rFonts w:ascii="Times New Roman" w:hAnsi="Times New Roman" w:eastAsia="方正小标宋简体"/>
          <w:sz w:val="32"/>
          <w:szCs w:val="32"/>
        </w:rPr>
      </w:pPr>
    </w:p>
    <w:p>
      <w:pPr>
        <w:pStyle w:val="6"/>
        <w:rPr>
          <w:rFonts w:hint="eastAsia" w:ascii="Times New Roman" w:hAnsi="Times New Roman" w:eastAsia="方正小标宋简体"/>
          <w:sz w:val="32"/>
          <w:szCs w:val="32"/>
        </w:rPr>
      </w:pPr>
    </w:p>
    <w:p>
      <w:pPr>
        <w:pStyle w:val="6"/>
        <w:rPr>
          <w:rFonts w:ascii="Times New Roman" w:hAnsi="Times New Roman" w:eastAsia="方正小标宋简体"/>
          <w:sz w:val="32"/>
          <w:szCs w:val="32"/>
        </w:rPr>
      </w:pPr>
    </w:p>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巴中市交通运输局</w:t>
      </w:r>
    </w:p>
    <w:tbl>
      <w:tblPr>
        <w:tblStyle w:val="11"/>
        <w:tblW w:w="4952" w:type="pc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44"/>
        <w:gridCol w:w="629"/>
        <w:gridCol w:w="675"/>
        <w:gridCol w:w="888"/>
        <w:gridCol w:w="2143"/>
        <w:gridCol w:w="2307"/>
        <w:gridCol w:w="2954"/>
        <w:gridCol w:w="390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restar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08" w:type="pct"/>
            <w:vMerge w:val="restar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708" w:type="pct"/>
            <w:gridSpan w:val="3"/>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884" w:type="pct"/>
            <w:gridSpan w:val="5"/>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continue"/>
            <w:vAlign w:val="center"/>
          </w:tcPr>
          <w:p>
            <w:pPr>
              <w:spacing w:line="240" w:lineRule="exact"/>
              <w:jc w:val="center"/>
              <w:rPr>
                <w:rFonts w:ascii="Times New Roman" w:hAnsi="Times New Roman" w:eastAsia="方正小标宋简体"/>
                <w:sz w:val="18"/>
                <w:szCs w:val="18"/>
              </w:rPr>
            </w:pPr>
          </w:p>
        </w:tc>
        <w:tc>
          <w:tcPr>
            <w:tcW w:w="208" w:type="pct"/>
            <w:vMerge w:val="continue"/>
            <w:vAlign w:val="center"/>
          </w:tcPr>
          <w:p>
            <w:pPr>
              <w:spacing w:line="240" w:lineRule="exact"/>
              <w:jc w:val="center"/>
              <w:rPr>
                <w:rFonts w:ascii="Times New Roman" w:hAnsi="Times New Roman" w:eastAsia="方正小标宋简体"/>
                <w:sz w:val="18"/>
                <w:szCs w:val="18"/>
              </w:rPr>
            </w:pPr>
          </w:p>
        </w:tc>
        <w:tc>
          <w:tcPr>
            <w:tcW w:w="203"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18"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286"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693"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746"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55"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1260"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227"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88</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对泄露应当保密的与交通运输领域建设工程项目招标投标活动有关的情况和资料等行为的行政处罚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693" w:type="pct"/>
            <w:vAlign w:val="center"/>
          </w:tcPr>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立案责任：发现或接到举报有相关违法行为时，及时决定是否立案，立案应当填写《立案登记表》。</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r>
              <w:rPr>
                <w:rFonts w:ascii="Times New Roman" w:hAnsi="Times New Roman" w:eastAsia="方正仿宋_GBK" w:cs="Times New Roman"/>
                <w:sz w:val="16"/>
                <w:szCs w:val="16"/>
              </w:rPr>
              <w:t>。</w:t>
            </w:r>
          </w:p>
        </w:tc>
        <w:tc>
          <w:tcPr>
            <w:tcW w:w="746"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89</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对交通运输领域建设工程项目招标中介机构与他人串通行为的行政处罚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2.【行政法规】《中华人民共和国招标投标法实施条例》第六十五条</w:t>
            </w:r>
          </w:p>
        </w:tc>
        <w:tc>
          <w:tcPr>
            <w:tcW w:w="693" w:type="pct"/>
            <w:vAlign w:val="center"/>
          </w:tcPr>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1-3.【行政法规】《行政机关公务员处分条例》第二十一条第一款第（三）项。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2.同1-1、1-2、1-3。</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3-1.同1-1、1-3。</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3-2.【地方性法规】《四川省行政执法监督条例》第四十五条第一款第（一）项。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3-3.【政府规章】《四川省行政机关工作人员行政过错责任追究试行办法》第七条。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4-1.同1-1。</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4-2.【行政法规】《行政机关公务员处分条例》第二十一条第一款第（四）项。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5.同1-1。</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6.同1-1。</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7-1.【法律】《中华人民共和国行政处罚法》第七十七条。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7-2.同1-2。</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8-1.【法律】《中华人民共和国行政处罚法》第七十九条。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8-2.【地方性法规】《四川省行政执法监督条例》第四十五条第一款第（九）项。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8-3.同1-2。</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8-4.【行政法规】《行政机关公务员处分条例》第二十五条第一款第（三）项。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9-1.【法律】《中华人民共和国行政处罚法》第八十条。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9-2.同1-2。</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10.【法律】《中华人民共和国行政处罚法》第八十一条。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11.【法律】《中华人民共和国行政处罚法》第八十二条。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12.【法律】《中华人民共和国行政处罚法》第八十三条。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13-1.同3-3。</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13-2.【行政法规】《行政机关公务员处分条例》第十九条第一款第（五）项。</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14-1.同3-3。</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14-2.【行政法规】《行政机关公务员处分条例》第二十六条。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15.同3-3。</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90</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对交通运输领域建设工程项目招标人限制或排斥潜在投标人行为的行政处罚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2.【地方性法规】《四川省国家投资工程建设项目招标投标条例》第四十四条第（二）项。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3.【部门规章】《电子招标投标办法》第五十四条。</w:t>
            </w:r>
          </w:p>
        </w:tc>
        <w:tc>
          <w:tcPr>
            <w:tcW w:w="693" w:type="pct"/>
            <w:vAlign w:val="center"/>
          </w:tcPr>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91</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对交通运输领域建设工程项目招标人向他人透露可能影响公平竞争的有关招标投标情况或者泄露标底行为的行政处罚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1.【法律】《中华人民共和国招标投标法》第五十二条第一款。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2.【部门规章】《电子招标投标办法》第五十六条。</w:t>
            </w:r>
          </w:p>
        </w:tc>
        <w:tc>
          <w:tcPr>
            <w:tcW w:w="693" w:type="pct"/>
            <w:vAlign w:val="center"/>
          </w:tcPr>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w:t>
            </w:r>
            <w:r>
              <w:rPr>
                <w:rFonts w:ascii="Times New Roman" w:hAnsi="Times New Roman" w:eastAsia="方正仿宋_GBK" w:cs="Times New Roman"/>
                <w:sz w:val="15"/>
                <w:szCs w:val="15"/>
              </w:rPr>
              <w:t>责任：发现或接到举报有相关违法行为时，及时决定是否立案，立案应当填写《立案登记表》。</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1-2.【政府规章】《四川省行政机关工作人员行政过错责任追究试行办</w:t>
            </w:r>
            <w:r>
              <w:rPr>
                <w:rFonts w:ascii="Times New Roman" w:hAnsi="Times New Roman" w:eastAsia="方正仿宋_GBK" w:cs="Times New Roman"/>
                <w:sz w:val="15"/>
                <w:szCs w:val="15"/>
              </w:rPr>
              <w:t>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92</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对交通运输领域建设工程项目投标人与他人串通投标或者以行贿手段中标等行为的行政处罚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4.【部门规章】《公路建设市场管理办法》第四十九条。</w:t>
            </w:r>
          </w:p>
        </w:tc>
        <w:tc>
          <w:tcPr>
            <w:tcW w:w="693" w:type="pct"/>
            <w:vAlign w:val="center"/>
          </w:tcPr>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w:t>
            </w:r>
            <w:r>
              <w:rPr>
                <w:rFonts w:ascii="Times New Roman" w:hAnsi="Times New Roman" w:eastAsia="方正仿宋_GBK" w:cs="Times New Roman"/>
                <w:sz w:val="15"/>
                <w:szCs w:val="15"/>
              </w:rPr>
              <w:t>否立案，立案应当填写《立案登记表》。</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93</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对交通运输领域必须招标的项目建设工程单位弄虚作假骗取中标行为的行政处罚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4.【部门规章】《公路建设市场管理办法》第五十条。</w:t>
            </w:r>
          </w:p>
        </w:tc>
        <w:tc>
          <w:tcPr>
            <w:tcW w:w="69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2.调查责任：调查或检查时，执法人员不得少于2人，并向当事人或有关人员出示证件，询问或</w:t>
            </w:r>
            <w:r>
              <w:rPr>
                <w:rFonts w:ascii="Times New Roman" w:hAnsi="Times New Roman" w:eastAsia="方正仿宋_GBK" w:cs="Times New Roman"/>
                <w:sz w:val="15"/>
                <w:szCs w:val="15"/>
              </w:rPr>
              <w:t>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1-3.【行政法规</w:t>
            </w:r>
            <w:r>
              <w:rPr>
                <w:rFonts w:ascii="Times New Roman" w:hAnsi="Times New Roman" w:eastAsia="方正仿宋_GBK" w:cs="Times New Roman"/>
                <w:sz w:val="15"/>
                <w:szCs w:val="15"/>
              </w:rPr>
              <w:t>】《行政机关公务员处分条例》第二十一条第一款第（三）项。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94</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对交通运输领域依法必须进行招标的项目，招标人违反规定，与投标人就实质内容进行谈判行为的行政处罚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【法律】《中华人民共和国招标投标法》第五十五条。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95</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对收受交通运输领域建设工程项目投标人好处，或透露信息行为的行政处罚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3.【部门规章】《评标专家和评标专家库管理暂行办法》第十五条第二款。</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96</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对交通运输领域建设工程项目招标人在评标委员会依法推荐的中标候选人以外确定中标人等行为的行政处罚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1.【法律】《中华人民共和国招标投标法》第五十七条。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2.【行政法规】《中华人民共和国招标投标法实施条例》第七十三条第一款第（二）项。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3.【地方性法规】《四川省国家投资工程建设项目招标投标条例》第四十一条。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4.【部门规章】《公路工程建设项目招标投标管理办法》第六十八条。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97</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对交通运输领域建设工程项目肢解发包行为的行政处罚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3.【部门规章】《公路建设市场管理办法》第五十四条。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4.【部门规章】《建筑业企业资质管理规定》第三十一条。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w:t>
            </w:r>
            <w:r>
              <w:rPr>
                <w:rFonts w:ascii="Times New Roman" w:hAnsi="Times New Roman" w:eastAsia="方正仿宋_GBK" w:cs="Times New Roman"/>
                <w:sz w:val="16"/>
                <w:szCs w:val="16"/>
              </w:rPr>
              <w:t>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98</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对交通运输领域建设工程中不按招标文件和投标文件订立合同或订立背离合同实质性内容的协议行为的行政处罚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3.【部门规章】《评标委员会和评标办法暂行规定》第五十六条。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4.【地方性法规】《四川省国家投资工程建设项目招标投标条例》第四十七条。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99</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对交通运输领域建设工程中不按照合同履行义务，情节较为严重行为的行政处罚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2.【部门规章】《公路建设市场管理办法》第五十二条。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100</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对交通运输领域建设工程项目招标人接受未通过资格预审的单位或者个人参加投标行为的行政处罚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【行政法规】《中华人民共和国招标投标法实施条例》第六十四条第（三）项。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1.立案责任：发现或接到举报有相关违法行为时，及时决定是否立案，立案应当填写《立案登记表》</w:t>
            </w:r>
            <w:r>
              <w:rPr>
                <w:rFonts w:ascii="Times New Roman" w:hAnsi="Times New Roman" w:eastAsia="方正仿宋_GBK" w:cs="Times New Roman"/>
                <w:sz w:val="15"/>
                <w:szCs w:val="15"/>
              </w:rPr>
              <w:t>。</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w:t>
            </w:r>
            <w:r>
              <w:rPr>
                <w:rFonts w:ascii="Times New Roman" w:hAnsi="Times New Roman" w:eastAsia="方正仿宋_GBK" w:cs="Times New Roman"/>
                <w:sz w:val="16"/>
                <w:szCs w:val="16"/>
              </w:rPr>
              <w:t>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101</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对交通运输领域建设工程项目不按照规定发布资格预审公告或者招标公告等行为的行政处罚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1.【行政法规】《中华人民共和国招标投标法实施条例》第六十三条第（二）项。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2.【地方性法规】《四川省国家投资工程建设项目招标投标条例》第四十一条第（三）、（四）项。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102</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对交通运输领域建设工程项目招标人接受应当拒收的投标文件行为的行政处罚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1.【行政法规】《中华人民共和国招标投标法实施条例》第六十四条第一款第（四）项。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2.【地方性法规】《四川省国家投资工程建设项目招标投标条例》第四十二条第（十）项。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103</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对交通运输领域建设工程项目招标资料时限不符合规定的行政处罚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1.【行政法规】《中华人民共和国招标投标法实施条例》第六十四条第一款第（二）项。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2.【地方性法规】《四川省国家投资工程建设项目招标投标条例》第四十一条第（一）项。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104</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对交通运输领域建设工程项目招标人超额收取保证金或者不按规定退还保证金及利息行为的行政处罚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2.【地方性法规】《四川省国家投资工程建设项目招标投标条例》第四十八条第二款。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3.【部门规章】《公路工程建设项目招标投标管理办法》第六十八条第（七）、（十一）项。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105</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对交通运输领域建设工程项目招标人不按照规定组建评标委员会，或者违法确定、更换评标委员会成员行为的行政处罚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2.【部门规章】《评标专家和评标专家库管理暂行办法》第十七条第一款。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3.【地方性法规】《四川省国家投资工程建设项目招标投标条例》第四十四条第（四）、（五）项。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106</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对交通运输领域建设工程项目评标委员会委员不客观、不公正履行职务行为的行政处罚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3.【地方性法规】《四川省国家投资工程建设项目招标投标条例》第四十四条第（一）、（三）、（六）项。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107</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对交通运输领域建设工程项目的招标人无正当理由不发出中标通知书等行为的行政处罚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1.【行政法规】《中华人民共和国招标投标法实施条例》第七十三条、第七十四条。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2.【部门规章】《评标委员会和评标办法暂行规定》第五十五条、第五十七条。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3.【地方性法规】《四川省国家投资工程建设项目招标投标条例》第四十七条。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108</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对交通运输领域建设工程项目采取抽签、摇号等方式进行投标资格预审等行为的行政处罚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【地方性法规】《四川省国家投资工程建设项目招标投标条例》第四十二条第（四）、（十一）、（十二）项。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109</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对交通运输领域建设工程项目招标人在发布招标公告、发出投标邀请书或者招标文件后终止招标行为的行政处罚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110</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对交通运输领域建设工程项目招标人强制要求中标人垫付中标项目建设资金行为的行政处罚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【地方性法规】《四川省国家投资工程建设项目招标投标条例》第四十八条第二款。</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111</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对水运工程建设项目未履行相关审批、核准手续开展招标活动行为的行政处罚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1.【部门规章】《水运工程建设项目招标投标管理办法》第九条、第六十六条。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2.【地方性法规】《四川省国家投资工程建设项目招标投标条例》第四十二条第一款第（八）项。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112</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对交通运输领域建设工程项目招标人向评标委员会提供的评标信息不符合规定行为的行政处罚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【部门规章】《公路工程建设项目招标投标管理办法》第四十一条、第六十八条第（九）项。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113</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对交通运输领域建设工程项目不按规定将资格预审文件、招标文件和招标投标情况的书面报告备案等行为的行政处罚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【部门规章】《公路工程建设项目招标投标管理办法》第六十八条第（二）、（五）、（六）项。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114</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对公路水运工程建设项目不具备招标条件而进行招标等行为的行政处罚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1.【部门规章】《公路工程建设项目招标投标管理办法》第八条第二款、第六十八条第（一）项。</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2.【地方性法规】《四川省国家投资工程建设项目招标投标条例》第四十二条第一款第（六）项。</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115</w:t>
            </w:r>
          </w:p>
        </w:tc>
        <w:tc>
          <w:tcPr>
            <w:tcW w:w="20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对交通运输领域建设工程项目招标人及其工作人员在招标代理活动中收受贿赂、索取回扣或者谋取其他不正当利益等行为的行政处罚</w:t>
            </w:r>
          </w:p>
        </w:tc>
        <w:tc>
          <w:tcPr>
            <w:tcW w:w="218"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69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14"/>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Times New Roman" w:eastAsia="方正仿宋_GBK" w:cs="Times New Roman"/>
                <w:sz w:val="13"/>
                <w:szCs w:val="13"/>
              </w:rPr>
              <w:t>法律</w:t>
            </w:r>
            <w:r>
              <w:rPr>
                <w:rFonts w:ascii="Times New Roman" w:hAnsi="Times New Roman" w:eastAsia="方正仿宋_GBK" w:cs="Times New Roman"/>
                <w:sz w:val="16"/>
                <w:szCs w:val="16"/>
              </w:rPr>
              <w:t>】《中华人民共和国行政处罚法》第六十二条。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因不履行或不正确履行行政职责，有</w:t>
            </w:r>
            <w:r>
              <w:rPr>
                <w:rFonts w:ascii="Times New Roman" w:hAnsi="Times New Roman" w:eastAsia="方正仿宋_GBK" w:cs="Times New Roman"/>
                <w:sz w:val="15"/>
                <w:szCs w:val="15"/>
              </w:rPr>
              <w:t>下列情形的，行政机关及相关工作人员应承担相应责任：</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1.实施行政处罚没有法定依据；</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2.实施行政处罚擅自改变行政处罚种类、幅度；</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3.实施行政处罚违反法定的行政处罚程序；</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4.委托不符合条件的组织或委托个人实施行政处罚；</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5.实施行政处罚的执法人员未取得执法证件；</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vAlign w:val="center"/>
          </w:tcPr>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14"/>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vAlign w:val="center"/>
          </w:tcPr>
          <w:p>
            <w:pPr>
              <w:pStyle w:val="14"/>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5" w:hRule="atLeast"/>
        </w:trPr>
        <w:tc>
          <w:tcPr>
            <w:tcW w:w="198"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8"/>
                <w:szCs w:val="18"/>
              </w:rPr>
              <w:t>116</w:t>
            </w:r>
          </w:p>
        </w:tc>
        <w:tc>
          <w:tcPr>
            <w:tcW w:w="208"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行政检查</w:t>
            </w:r>
          </w:p>
        </w:tc>
        <w:tc>
          <w:tcPr>
            <w:tcW w:w="203"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交通运输领域建设工程项目招投标市场的行政检查</w:t>
            </w:r>
          </w:p>
        </w:tc>
        <w:tc>
          <w:tcPr>
            <w:tcW w:w="218"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1.【法律】《中华人民共和国公路法》第六十九条。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2.【部门规章】《公路建设监督管理办法》第三条、第六条、第七条、第二十六条第三款。</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3.【部门规章】《公路建设市场管理办法》第八条。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4.【部门规章】《水运建设市场监督管理办法》第四条、第二十六条、第二十七条第二款第（二）项。</w:t>
            </w:r>
          </w:p>
        </w:tc>
        <w:tc>
          <w:tcPr>
            <w:tcW w:w="693" w:type="pct"/>
            <w:vAlign w:val="center"/>
          </w:tcPr>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1.检查责任：定期或不定期以公开检查、明察暗访等方式组织开展专项检查、综合检查、全面检查等。调查或检查时，执法人员不得少于2人，并向当事人或有关人员出示证件，必要时可邀请专家参加。</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2.调查责任：对在日常检查中或公民、法人和其他组织的复议、申诉、检举、新闻媒体反映和依法转交的案件进行核实，履行调查责任。</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3.告知责任：对违法事实、处理依据、处理意见告知，听取当事人陈述申辩；</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4.处理责任：对监督检查的结果下达《责令改正通知书》或《限期整改通知书》等文书，对负有责任的相关人员依照相关规定进行处理。</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5.信息公开责任：对监督检查结果依法予以公开。</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6.法律法规规章规定应当履行的其他责任。</w:t>
            </w:r>
          </w:p>
        </w:tc>
        <w:tc>
          <w:tcPr>
            <w:tcW w:w="746"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1.【部门规章】《交通运输行政执法程序规定》第六条、第二十三条。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2.【部门规章】《交通运输行政执法程序规定》第六十四条。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3.【部门规章】《交通运输行政执法程序规定》第六十九条。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4.【部门规章】《交通运输行政执法程序规定》第六十六条。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5.【部门规章】《交通运输行政执法程序规定》第二十条。</w:t>
            </w:r>
          </w:p>
        </w:tc>
        <w:tc>
          <w:tcPr>
            <w:tcW w:w="955"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1.实施行政检查应当回避而不回避；</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2.玩忽职守、贻误工作；</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3.弄虚作假，误导、欺骗领导和公众，造成不良后果；</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4.违反廉政纪律；</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5.违反规定向公民、法人或者其他组织摊派或者收取财物；</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6.滥用职权，侵害公民、法人或者其他组织合法权益；</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7.泄露国家秘密、工作秘密，或者泄露因履行职责掌握的商业秘密、个人隐私，造成不良后果；</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8.严重违反公务员职业道德，工作作风懈怠、工作态度恶劣，造成不良影响；</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9.不依法履行告知义务；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10.实施行政检查违反规定。</w:t>
            </w:r>
          </w:p>
        </w:tc>
        <w:tc>
          <w:tcPr>
            <w:tcW w:w="1260"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1.【行政法规】《行政机关公务员处分条例》第十九条第一款第（五）项。</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2-1.【行政法规】《行政机关公务员处分条例》第二十条第一项第（四）项。</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2-2.【地方法规】《四川省行政执法监督条例》第四十五条。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3.【行政法规】《行政机关公务员处分条例》第二十二条。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4-1.【行政法规】《行政机关公务员处分条例》第二十三条。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4-2.【地方性法规】《四川省行政执法监督条例》第四十五条。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5.【行政法规】《行政机关公务员处分条例》第二十五条。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6.【行政法规】《行政机关公务员处分条例》第二十五条。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7-1.【行政法规】《行政机关公务员处分条例》第二十六条。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7-2.【政府规章】《四川省行政机关工作人员行政过错责任追究试行办法》第七条。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8.【行政法规】《行政机关公务员处分条例》第二十八条。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9.【政府规章】《四川省行政机关工作人员行政过错责任追究试行办法》第七条第一款第（三）项。</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10.【政府规章】《四川省行政机关工作人员行政过错责任追究试行办法》第十条。</w:t>
            </w:r>
          </w:p>
        </w:tc>
        <w:tc>
          <w:tcPr>
            <w:tcW w:w="227"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117</w:t>
            </w:r>
          </w:p>
        </w:tc>
        <w:tc>
          <w:tcPr>
            <w:tcW w:w="208"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其他行政权力</w:t>
            </w:r>
          </w:p>
        </w:tc>
        <w:tc>
          <w:tcPr>
            <w:tcW w:w="203"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公路水运建设工程招标备案</w:t>
            </w:r>
          </w:p>
        </w:tc>
        <w:tc>
          <w:tcPr>
            <w:tcW w:w="218"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1.【部门规章】《公路工程建设项目招标投标管理办法》第十七条、第五十五条、第六十条第二、三、四款。</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2.【部门规章】《水运工程建设项目招标投标管理办法》第二条，第十五条第二款，第十八条第一款第（一）、（三）、（十）项，第十九条，第二十条，第五十二条。</w:t>
            </w:r>
          </w:p>
        </w:tc>
        <w:tc>
          <w:tcPr>
            <w:tcW w:w="693" w:type="pct"/>
            <w:vAlign w:val="center"/>
          </w:tcPr>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1.受理责任：告知申请人办理备案的相关事项及应提交的相关材料，对备案登记单位提交告知性备案进行受理；</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2.审查责任：对备案资料提交时限、备案资料形式等进行审查，材料不齐全的一次性告知，不符合法定条件的退回补充；</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3.决定责任：作出同意备案决定并对告知性备案资料予以签收，在备案表上加盖备案章，当场办结；</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4.送达责任：作出同意备案的，送达已盖章的备案表；作出不同意备案的，说明原因并要求整改备案；</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5.监管责任：加强事中事后监管，对存在的违法行为及时制作《监督意见通知》，督促依法依规整改；涉及失信行为的按管理权限予以处理；</w:t>
            </w:r>
          </w:p>
          <w:p>
            <w:pPr>
              <w:pStyle w:val="14"/>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6.法律法规规章文件规定的其他应履行的责任。</w:t>
            </w:r>
          </w:p>
        </w:tc>
        <w:tc>
          <w:tcPr>
            <w:tcW w:w="746" w:type="pct"/>
            <w:vAlign w:val="center"/>
          </w:tcPr>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1.【法律】参照《中华人民共和国行政许可法》第三十条。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2.【法律】参照《中华人民共和国行政许可法》第三十二条。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3.【法律】参照《中华人民共和国行政许可法》第三十八条。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4.【法律】参照《中华人民共和国行政许可法》第四十四条。</w:t>
            </w:r>
          </w:p>
          <w:p>
            <w:pPr>
              <w:pStyle w:val="14"/>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5.【法律】参照《中华人民共和国行政许可法》第六十一条。</w:t>
            </w:r>
          </w:p>
        </w:tc>
        <w:tc>
          <w:tcPr>
            <w:tcW w:w="955"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1.玩忽职守、贻误工作；</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2.违反廉政纪律；</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3.滥用职权，侵害公民、法人或者其他组织合法权益；</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4.泄露国家秘密、工作秘密，或者泄露因履行职责掌握的商业秘密、个人隐私，造成不良后果；</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5.严重违反公务员职业道德，工作作风懈怠、工作态度恶劣，造成不良影响。</w:t>
            </w:r>
          </w:p>
        </w:tc>
        <w:tc>
          <w:tcPr>
            <w:tcW w:w="1260"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1-1.【行政法规】《行政机关公务员处分条例》第二十条。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1-2【地方性法规】《四川省行政执法监督条例》第四十五条。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2-1.【行政法规】《行政机关公务员处分条例》第二十三条。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2-2.【地方性法规】《四川省行政执法监督条例》第四十五条。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3-1.【行政法规】《行政机关公务员处分条例》第二十五条第一款第（五）项。</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3-2.【地方性法规】《四川省行政执法监督条例》第四十五条。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4-1.【行政法规】《行政机关公务员处分条例》第二十六条。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4-2.【政府规章】《四川省行政机关工作人员行政过错责任追究试行办法》第七条。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5-1.【行政法规】《行政机关公务员处分条例》第二十八条。</w:t>
            </w:r>
          </w:p>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5-2.【地方性法规】《四川省行政执法监督条例》第四十五条第一款第（四）项。</w:t>
            </w:r>
          </w:p>
        </w:tc>
        <w:tc>
          <w:tcPr>
            <w:tcW w:w="227" w:type="pct"/>
            <w:vAlign w:val="center"/>
          </w:tcPr>
          <w:p>
            <w:pPr>
              <w:pStyle w:val="14"/>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bl>
    <w:p>
      <w:pPr>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pStyle w:val="6"/>
        <w:rPr>
          <w:rFonts w:ascii="Times New Roman" w:hAnsi="Times New Roman" w:eastAsia="方正小标宋简体"/>
          <w:sz w:val="32"/>
          <w:szCs w:val="32"/>
        </w:rPr>
      </w:pPr>
    </w:p>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巴中市水利局</w:t>
      </w:r>
    </w:p>
    <w:tbl>
      <w:tblPr>
        <w:tblStyle w:val="11"/>
        <w:tblW w:w="4919"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17"/>
        <w:gridCol w:w="797"/>
        <w:gridCol w:w="615"/>
        <w:gridCol w:w="1350"/>
        <w:gridCol w:w="3046"/>
        <w:gridCol w:w="1963"/>
        <w:gridCol w:w="2983"/>
        <w:gridCol w:w="222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blHeader/>
        </w:trPr>
        <w:tc>
          <w:tcPr>
            <w:tcW w:w="210" w:type="pct"/>
            <w:vMerge w:val="restart"/>
            <w:vAlign w:val="center"/>
          </w:tcPr>
          <w:p>
            <w:pPr>
              <w:spacing w:line="36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33" w:type="pct"/>
            <w:vMerge w:val="restar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898" w:type="pct"/>
            <w:gridSpan w:val="3"/>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57" w:type="pct"/>
            <w:gridSpan w:val="5"/>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0" w:type="pct"/>
            <w:vMerge w:val="continue"/>
            <w:vAlign w:val="center"/>
          </w:tcPr>
          <w:p>
            <w:pPr>
              <w:spacing w:line="360" w:lineRule="exact"/>
              <w:jc w:val="center"/>
              <w:rPr>
                <w:rFonts w:ascii="Times New Roman" w:hAnsi="Times New Roman" w:eastAsia="方正小标宋简体"/>
                <w:sz w:val="18"/>
                <w:szCs w:val="18"/>
              </w:rPr>
            </w:pPr>
          </w:p>
        </w:tc>
        <w:tc>
          <w:tcPr>
            <w:tcW w:w="233" w:type="pct"/>
            <w:vMerge w:val="continue"/>
            <w:vAlign w:val="center"/>
          </w:tcPr>
          <w:p>
            <w:pPr>
              <w:spacing w:line="320" w:lineRule="exact"/>
              <w:jc w:val="center"/>
              <w:rPr>
                <w:rFonts w:ascii="Times New Roman" w:hAnsi="Times New Roman" w:eastAsia="方正小标宋简体"/>
                <w:sz w:val="18"/>
                <w:szCs w:val="18"/>
              </w:rPr>
            </w:pPr>
          </w:p>
        </w:tc>
        <w:tc>
          <w:tcPr>
            <w:tcW w:w="259"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00"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438"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991"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39"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71"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723"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331" w:type="pct"/>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jc w:val="center"/>
              <w:rPr>
                <w:rFonts w:ascii="Times New Roman" w:hAnsi="Times New Roman" w:eastAsia="方正仿宋_GBK" w:cs="Times New Roman"/>
                <w:sz w:val="13"/>
                <w:szCs w:val="13"/>
              </w:rPr>
            </w:pPr>
            <w:r>
              <w:rPr>
                <w:rFonts w:ascii="Times New Roman" w:hAnsi="Times New Roman" w:eastAsia="方正仿宋_GBK" w:cs="Times New Roman"/>
                <w:sz w:val="13"/>
                <w:szCs w:val="13"/>
              </w:rPr>
              <w:t>118</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行政许可</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河道采砂许可</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1.【行政法规】《中华人民共和国河道管理条例》第二十五条。</w:t>
            </w:r>
          </w:p>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2.【地方性法规】《四川省河道采砂管理条例》第十七条、第十八条、第二十条。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受理责任：属于本机关受理范围，申请材料齐全、符合法定形式的，应当予以受理，并出具书面受理凭证；申请材料不齐全或者不符合法定形式的，应当一次告知申请人予以补正；不属于本机关受理范围的，应当作出不予受理的决定，并告知申请人向有受理权限的机关提出申请。</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2.审查责任：对申请人提交的材料进行审查，提出初步审查意见。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决定责任：办理机关负责人依据审查意见签署审批结果。对予以批准办理的，由办理机关向申请人核发办理结果；不予批准的，由办理机关书面通知申请人并说明理由，并告知申请人对结果有异议的，可依法申请行政复议或者提起行政诉讼。</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4.送达责任：将制作完成的证照送达申报单位和相关部门。</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5.事后监管责任：加强项目实施过程中的监督检查。</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6.其他法律法规文件规定应履行的职责。</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1.【法律】参照《中华人民共和国行政许可法》第三十条。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2.【法律】参照《中华人民共和国行政许可法》第三十二条。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3.【法律】参照《中华人民共和国行政许可法》第三十八条。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4.【法律】参照《中华人民共和国行政许可法》第四十四条。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5.【法律】参照《中华人民共和国行政许可法》第六十一条。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1.玩忽职守、贻误工作的；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2.违反廉政纪律行为的；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3.滥用职权，侵害公民、法人或者其他组织合法权益的；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4.泄露相关秘密、隐私的；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5.违反公务员职业道德，工作作风懈怠、工作态度恶劣的；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6.行政权力实施工作中推诿、拖延不办，或者无正当理由不配合、不协助其他机关行政权力实施工作；</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2.【行政法规】《行政机关公务员处分条例》第二十三条。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 【行政法规】《行政机关公务员处分条例》第二十五条。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 【行政法规】《行政机关公务员处分条例》第二十六条。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5.【行政法规】《行政机关公务员处分条例》第二十八条。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6.依据《中华人民共和国监察法》《中华人民共和国行政许可法》《四川省行政审批违法违纪行为责任追究办法》等法律法规规章的相关规定追究相应责任。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trPr>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119</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对必须进行招标的水利项目而不招标，将必须进行招标的水利项目化整为零或者以其他任何方式规避招标的行政处罚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【法律】《中华人民共和国招标投标法》第四十九条。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五条、第五十六条、第五十七条、第五十八条、第五十九条、第六十条、第六十一条、第六十二条、第六十三条、第六十四条、第六十五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120</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对招标代理机构泄露应当保密的与招标投标活动有关的水利项目情况和资料，或者与招标人、投标人串通损害国家利益、社会公共利益或者他人合法权益的行政处罚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【法律】《中华人民共和国招标投标法》第五十条第一款。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121</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对水利项目招标人以不合理的条件限制或者排斥潜在投标人，对潜在投标人实行歧视待遇，强制要求投标人组成联合体共同投标的，或者限制投标人之间竞争的行政处罚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【法律】《中华人民共和国招标投标法》第五十一条。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122</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对依法必须进行招标的水利项目的招标人向他人透露已获取招标文件的潜在投标人的名称、数量或者可能影响公平竞争的有关招标投标的其他情况，或者泄露标底的行政处罚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【法律】《中华人民共和国招标投标法》第五十二条第一款。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123</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对水利项目投标人相互串通投标或者与招标人串通投标，投标人以向招标人或者评标委员会成员行贿的手段谋取中标的行政处罚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1.【法律】《中华人民共和国建筑法》第六十八条。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2.【法律】《中华人民共和国招标投标法》第五十三条。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3.【部门规章】《建筑业企业资质管理规定》第二十三条、第三十七条。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124</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对依法必须进行招标的水利项目的投标人以他人名义投标或者以其他方式弄虚作假，骗取中标的行政处罚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【法律】《中华人民共和国招标投标法》第五十四条。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125</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【法律】《中华人民共和国招标投标法》第五十六条。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126</w:t>
            </w:r>
          </w:p>
        </w:tc>
        <w:tc>
          <w:tcPr>
            <w:tcW w:w="233" w:type="pct"/>
            <w:vAlign w:val="center"/>
          </w:tcPr>
          <w:p>
            <w:pPr>
              <w:pStyle w:val="14"/>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对招标人在评标委员会依法推荐的中标候选人以外确定中标人，依法必须进行招标的水利项目在所有投标被评标委员会否决后自行确定中标人的行政处罚</w:t>
            </w:r>
          </w:p>
        </w:tc>
        <w:tc>
          <w:tcPr>
            <w:tcW w:w="200" w:type="pct"/>
            <w:vAlign w:val="center"/>
          </w:tcPr>
          <w:p>
            <w:pPr>
              <w:pStyle w:val="14"/>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市水利局</w:t>
            </w:r>
          </w:p>
        </w:tc>
        <w:tc>
          <w:tcPr>
            <w:tcW w:w="438" w:type="pct"/>
            <w:vAlign w:val="center"/>
          </w:tcPr>
          <w:p>
            <w:pPr>
              <w:widowControl/>
              <w:spacing w:line="240" w:lineRule="exact"/>
              <w:textAlignment w:val="center"/>
              <w:rPr>
                <w:rFonts w:ascii="Times New Roman" w:hAnsi="Times New Roman" w:eastAsia="方正仿宋_GBK"/>
                <w:sz w:val="13"/>
                <w:szCs w:val="13"/>
              </w:rPr>
            </w:pPr>
            <w:r>
              <w:rPr>
                <w:rFonts w:ascii="Times New Roman" w:hAnsi="Times New Roman" w:eastAsia="方正仿宋_GBK"/>
                <w:sz w:val="13"/>
                <w:szCs w:val="13"/>
              </w:rPr>
              <w:t>【法律】《中华人民共和国招标投标法》第五十七条。</w:t>
            </w:r>
          </w:p>
        </w:tc>
        <w:tc>
          <w:tcPr>
            <w:tcW w:w="991" w:type="pct"/>
            <w:vAlign w:val="center"/>
          </w:tcPr>
          <w:p>
            <w:pPr>
              <w:pStyle w:val="14"/>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sz w:val="13"/>
                <w:szCs w:val="13"/>
              </w:rPr>
              <w:br w:type="textWrapping"/>
            </w:r>
            <w:r>
              <w:rPr>
                <w:rFonts w:ascii="Times New Roman" w:hAnsi="Times New Roman" w:eastAsia="方正仿宋_GBK"/>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127</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【法律】《中华人民共和国招标投标法》第五十八条。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trPr>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128</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对水利项目招标人与中标人不按照招标文件和中标人的投标文件订立合同，或者招标人、中标人订立背离合同实质性内容的协议的行政处罚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【法律】《中华人民共和国招标投标法》第五十九条。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129</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对水利项目中标人不按照与招标人订立的合同履行义务，情节严重的行政处罚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【法律】《中华人民共和国招标投标法》第六十条第二款。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130</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对建设单位将水利建设工程发包给不具有相应资质等级的勘察、设计、施工单位或者委托给不具有相应资质等级的工程监理单位的行政处罚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【行政法规】《建设工程质量管理条例》第五十四条、第七十三条、第七十五条第一款。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131</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对建设单位将水利建设工程肢解发包的行政处罚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【行政法规】《建设工程质量管理条例》第五十五条、第七十三条、第七十五条第一款。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132</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对勘察、设计、施工、工程监理单位超越本单位资质等级承揽水利工程；未取得资质证书承揽水利工程；以欺骗手段取得资质证书承揽水利工程的行政处罚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【行政法规】《建设工程质量管理条例》第六十条、第七十三条。</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133</w:t>
            </w:r>
          </w:p>
        </w:tc>
        <w:tc>
          <w:tcPr>
            <w:tcW w:w="23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对勘察、设计、施工、工程监理单位允许其他单位或者个人以本单位名义承揽水利工程的行政处罚</w:t>
            </w:r>
          </w:p>
        </w:tc>
        <w:tc>
          <w:tcPr>
            <w:tcW w:w="200"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1【行政法规】《建设工程质量管理条例》第六十一条、第七十三条。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2.【行政法规】《建设工程勘察设计管理条例》第八条、第三十五条第一款。</w:t>
            </w:r>
          </w:p>
        </w:tc>
        <w:tc>
          <w:tcPr>
            <w:tcW w:w="99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1.立案责任：发现水利工程建设项目招投标活动参与主体违法违规行为的，予以审查，决定是否立案。</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5.决定责任：作出处罚决定，制作《行政处罚决定书》，并载明行政处罚告知、当事人陈述申辩或者听证情况等内容。</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6.送达责任：按法律规定的方式和时限将《行政处罚决定书》送达当事人。</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7.执行责任：依照生效的行政处罚决定执行。</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8.其他责任：法律法规规章文件规定应履行的其他责任。</w:t>
            </w:r>
          </w:p>
        </w:tc>
        <w:tc>
          <w:tcPr>
            <w:tcW w:w="639"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因不履行或不正确履行行政职责，有下列情形的，行政机关及相关工作人员应承担相应责任：</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1.对应当予以制止和处罚的违法行为不予制止、处罚的；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2.没有法律和事实依据实施行政处罚的；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3.因处罚不当给当事人造成损失的；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5.不具备行政执法资格实施行政处罚的；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6.擅自改变行政处罚种类、幅度的；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7.违反法定的行政处罚程序的；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8.应当依法移送追究刑事责任，而未依法移送有权机关的；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9.符合听证条件、行政管理相对人要求听证，应予组织听证而不组织听证的；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10.在行政处罚过程中发生腐败行为的；</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11.除以上追责情形外，其他违反法律法规规章的行为依法追究相应责任。</w:t>
            </w:r>
          </w:p>
        </w:tc>
        <w:tc>
          <w:tcPr>
            <w:tcW w:w="723"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2.同1。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3.同1。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4-1.同1。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4-2.【行政法规】《行政机关公务员处分条例》第二十条。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5-8.同1。</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9.同4-2。</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10.【行政法规】《行政机关公务员处分条例》第二十三条、第二十五条、第二十六条、第二十八条。</w:t>
            </w:r>
            <w:r>
              <w:rPr>
                <w:rFonts w:ascii="Times New Roman" w:hAnsi="Times New Roman" w:eastAsia="方正仿宋_GBK" w:cs="Times New Roman"/>
                <w:sz w:val="13"/>
                <w:szCs w:val="13"/>
              </w:rPr>
              <w:br w:type="textWrapping"/>
            </w: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5" w:hRule="atLeast"/>
        </w:trPr>
        <w:tc>
          <w:tcPr>
            <w:tcW w:w="210"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134</w:t>
            </w:r>
          </w:p>
        </w:tc>
        <w:tc>
          <w:tcPr>
            <w:tcW w:w="233"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259"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水利工程建设项目招投标活动备案</w:t>
            </w:r>
          </w:p>
        </w:tc>
        <w:tc>
          <w:tcPr>
            <w:tcW w:w="200"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市水利局</w:t>
            </w:r>
          </w:p>
        </w:tc>
        <w:tc>
          <w:tcPr>
            <w:tcW w:w="438" w:type="pct"/>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1.【法律】《中华人民共和国招标投标法》第十二条。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2.【地方性法规】《四川省国家投资工程建设项目招标投标条例》第十三条。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3.【部门规章】《水利工程建设项目招标投标管理规定》第八条、第十七条、第五十一条、第五十三条、第五十四条。</w:t>
            </w:r>
          </w:p>
        </w:tc>
        <w:tc>
          <w:tcPr>
            <w:tcW w:w="991" w:type="pct"/>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1.受理责任：公示应当提交的材料，一次性告知补正材料，依法受理或不予受理（不予受理应当告知理由）。</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2.审查责任：对备案材料、招标程序等合规性进行审核，提出审核意见。</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3.决定责任：在规定期限内，通过网络业务平台或书面作出准予备案或者不予备案决定(不予备案的应当告知理由）。</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4.事中、事后监管责任：依据职责依法对招投标活动过程实施监督，依法查处招标投标活动中的违法违规行为。</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5.其他责任：法律法规规章文件规定履行的其他责任。</w:t>
            </w:r>
          </w:p>
        </w:tc>
        <w:tc>
          <w:tcPr>
            <w:tcW w:w="639"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1.【法律】参照《中华人民共和国行政许可法》第三十条。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2.【法律】参照《中华人民共和国行政许可法》第三十二条。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3.【法律】参照《中华人民共和国行政许可法》第三十八条。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4.【法律】参照《中华人民共和国行政许可法》第四十四条。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5.【法律】参照《中华人民共和国行政许可法》第六十一条。</w:t>
            </w:r>
          </w:p>
        </w:tc>
        <w:tc>
          <w:tcPr>
            <w:tcW w:w="971" w:type="pct"/>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1.玩忽职守、贻误工作的；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2.违反廉政纪律行为的；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3.滥用职权，侵害公民、法人或者其他组织合法权益的；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4.泄露相关秘密、隐私的；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5.违反公务员职业道德，工作作风懈怠、工作态度恶劣的；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6.行政权力实施工作中推诿、拖延不办，或者无正当理由不配合、不协助其他机关行政权力实施工作；</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7.除以上追责情形外，其他违反法律法规规章的行为依法追究相应责任。</w:t>
            </w:r>
          </w:p>
        </w:tc>
        <w:tc>
          <w:tcPr>
            <w:tcW w:w="723" w:type="pct"/>
            <w:vAlign w:val="center"/>
          </w:tcPr>
          <w:p>
            <w:pPr>
              <w:pStyle w:val="14"/>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1.【行政法规】《行政机关公务员处分条例》第二十条。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2.【行政法规】《行政机关公务员处分条例》第二十三条。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3.【行政法规】《行政机关公务员处分条例》第二十五条。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4.【行政法规】《行政机关公务员处分条例》第二十六条。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5.【行政法规】《行政机关公务员处分条例》第二十八条。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vAlign w:val="center"/>
          </w:tcPr>
          <w:p>
            <w:pPr>
              <w:pStyle w:val="14"/>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210"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135</w:t>
            </w:r>
          </w:p>
        </w:tc>
        <w:tc>
          <w:tcPr>
            <w:tcW w:w="23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水利工程建设项目招投标活动投诉受理及处理</w:t>
            </w:r>
          </w:p>
        </w:tc>
        <w:tc>
          <w:tcPr>
            <w:tcW w:w="200"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1.【法律】《中华人民共和国招标投标法》第七条第二款、第六十五条。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2.【行政法规】《中华人民共和国招标投标法实施条例》第六十条、第六十一条、第六十二条。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3.【地方性法规】《四川省国家投资工程建设项目招标投标条例》第五条第三款、第三十四条、第三十九条。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4.【部门规章】《工程建设项目招标投标活动投诉处理办法》第三条、第四条。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5.【部门规章】《水利工程建设项目招标投标管理规定》第七条。</w:t>
            </w:r>
          </w:p>
        </w:tc>
        <w:tc>
          <w:tcPr>
            <w:tcW w:w="991"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1.受理责任：公示受理投诉的程序、条件、应当提交的材料，一次性告知补正材料，在规定时限内予以审查，依法受理或不予受理（受理或不予受理应当告知理由）。</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2.调查核实责任：对受理的投诉，指定专人负责，及时组织调查取证，与投诉人、被投诉人有利害关系的应当回避。调查取证应当由2名以上行政执法人员进行。听取被投诉人的陈述和申辩，必要时可通知投诉人和被投诉人进行质证。</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3.审查责任：根据调查和取证情况、事实证据、法律依据、当事人的陈述和申辩，对投诉事项处理意见及依据进行审查。</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4.处理责任：（一）投诉缺乏事实根据或者法律依据的，或者投诉人捏造事实、伪造材料或者以非法手段取得证明材料进行投诉的，驳回投诉；（二）投诉情况属实，招标投标活动确实存在违法行为的，依据《中华人民共和国招标投标法》、《中华人民共和国招标投标法实施条例》及其他有关法规、规章按程序做出处罚或依照职责移送有权部门处罚。</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5.送达告知责任：在规定的时限内，将投诉事项处理决定以书面形式通知投诉人、被投诉人和其他与投诉处理结果有关的当事人。当事人对行政监督部门的投诉处理决定不服或者行政监督部门逾期未做处理的，可以依法申请行政复议或者向人民法院提起行政诉讼。</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6.其他责任：法律法规规章文件规定应履行的其他责任。</w:t>
            </w:r>
          </w:p>
        </w:tc>
        <w:tc>
          <w:tcPr>
            <w:tcW w:w="639"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1-1【.地方性法规】《四川省国家投资工程建设项目招标投标条例》第五条第三款、第三十四条、第三十九条。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1-2.【部门规章】《工程建设项目招标投标活动投诉处理办法》第五条、第六条、第七条、第八条、第九条、第十条、第十一条、第十二条。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2.【部门规章】《工程建设项目招标投标活动投诉处理办法》第十三条、第十四条、第十五条、第十六条、第十七条、第十八条。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3-1.【法律】参照《中华人民共和国行政处罚法》第五十八条。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3-2.【行政法规】参照《重大行政决策程序暂行条例》第二十五条、第二十六条、第二十七条、第二十八条。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4.【部门规章】《工程建设项目招标投标活动投诉处理办法》第十九条、第二十条、第二十一条、第二十二条、第二十三条、第二十四条、第二十五条、第二十六条、第二十七条、第二十八条、第二十九条。</w:t>
            </w:r>
          </w:p>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5.【法律】参照《中华人民共和国行政许可法》第三十八条。</w:t>
            </w:r>
          </w:p>
        </w:tc>
        <w:tc>
          <w:tcPr>
            <w:tcW w:w="971"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因不履行或不正确履行行政职责，有下列情形的，行政机关及相关工作人员应承担相应责任：</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1.玩忽职守、贻误工作的；</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2.违反廉政纪律行为的；</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3.滥用职权，侵害公民、法人或者其他组织合法权益的；</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4.泄露相关秘密、隐私的；</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5.违反公务员职业道德，工作作风懈怠、工作态度恶劣的；</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6.行政权力实施工作中推诿、拖延不办，或者无正当理由不配合、不协助其他机关行政权力实施工作；</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7.除以上追责情形外，其他违反法律法规规章的行为依法追究相应责任。</w:t>
            </w:r>
          </w:p>
        </w:tc>
        <w:tc>
          <w:tcPr>
            <w:tcW w:w="72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1.【行政法规】《行政机关公务员处分条例》第二十条。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2.【行政法规】《行政机关公务员处分条例》第二十三条。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3.【行政法规】《行政机关公务员处分条例》第二十五条。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4.【行政法规】《行政机关公务员处分条例》第二十六条。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5.【行政法规】《行政机关公务员处分条例》第二十八条。</w:t>
            </w:r>
            <w:r>
              <w:rPr>
                <w:rFonts w:ascii="Times New Roman" w:hAnsi="Times New Roman" w:eastAsia="方正仿宋_GBK" w:cs="Times New Roman"/>
                <w:sz w:val="15"/>
                <w:szCs w:val="15"/>
              </w:rPr>
              <w:br w:type="textWrapping"/>
            </w:r>
            <w:r>
              <w:rPr>
                <w:rFonts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4" w:hRule="atLeast"/>
        </w:trPr>
        <w:tc>
          <w:tcPr>
            <w:tcW w:w="210"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136</w:t>
            </w:r>
          </w:p>
        </w:tc>
        <w:tc>
          <w:tcPr>
            <w:tcW w:w="233"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水利建设市场（含信用）的监督管理</w:t>
            </w:r>
          </w:p>
        </w:tc>
        <w:tc>
          <w:tcPr>
            <w:tcW w:w="200" w:type="pct"/>
            <w:vAlign w:val="center"/>
          </w:tcPr>
          <w:p>
            <w:pPr>
              <w:pStyle w:val="14"/>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1.【行政法规】《中华人民共和国招标投标法实施条例》第七十九条。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2.【地方性法规】《四川省国家投资工程建设项目招标投标条例》第三十八条。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3.【地方性法规】《四川省水利工程管理条例》第二十条。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4.《关于促进市场公平竞争维护市场正常秩序的若干意见》（十五）。</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5.《关于加快水利建设市场信用体系建设的实施意见》。</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6.《水利部关于促进市场公平竞争维护水利建设市场正常秩序的实施意见》（十六）。</w:t>
            </w:r>
          </w:p>
        </w:tc>
        <w:tc>
          <w:tcPr>
            <w:tcW w:w="991"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1.受理责任：公示水利建设市场（含信用）监管依据、标准、程序。按程序接收报送（或自主填报）的水利建设市场主体（含信用）信息、监管信息。</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审查核实责任：对报送（或自主填报）的水利建设市场主体（含信用）信息、监管信息，按程序通过“双随机、一公开”或“随机抽查”等方式进行审查核实。对发现的问题，问题性质、适用法律法规依据、处理意见进行审查。</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处理责任：按规定对水利建设市场主体（含信用）相关行为作出不良信用行为或良好信用行为认定；对水利建设市场主体（含信用）存在问题涉嫌违法犯罪或构成行政处罚的按程序移送处理；对水利建设市场主体（含信用）存在问题依据规定予以信用信息公告公示、惩戒或限制、信用评价降级等处理。</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4.事后监管责任：对水利建设市场主体（含信用）存在问题按规定督促限期整改或纠正。</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5.其他责任：法律法规规章文件规定应履行的其他责任。</w:t>
            </w:r>
          </w:p>
        </w:tc>
        <w:tc>
          <w:tcPr>
            <w:tcW w:w="639"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1.【行政法规】《中华人民共和国招标投标法实施条例》第七十九条。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2.【地方性法规】《四川省国家投资工程建设项目招标投标条例》第三十八条。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3.【地方性法规】《四川省水利工程管理条例》第二十条。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4.《水利建设市场主体信用信息管理办法》第六条、第十二条、第十三条、第十六条、第十八条。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5.《水利建设市场主体信用评价管理办法》第四条、第五条。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6.《关于促进市场公平竞争维护市场正常秩序的若干意见》（十五）。</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7.《关于加快水利建设市场信用体系建设的实施意见》。</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8.《水利部关于促进市场公平竞争维护水利建设市场正常秩序的实施意见》（十六）。</w:t>
            </w:r>
          </w:p>
        </w:tc>
        <w:tc>
          <w:tcPr>
            <w:tcW w:w="971"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1.玩忽职守、贻误工作的；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2.违反廉政纪律行为的；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3.滥用职权，侵害公民、法人或者其他组织合法权益的；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4.泄露相关秘密、隐私的；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5.违反公务员职业道德，工作作风懈怠、工作态度恶劣的；</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6.行政权力实施工作中推诿、拖延不办，或者无正当理由不配合、不协助其他机关行政权力实施工作；</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7.除以上追责情形外，其他违反法律法规规章的行为依法追究相应责任。</w:t>
            </w:r>
          </w:p>
        </w:tc>
        <w:tc>
          <w:tcPr>
            <w:tcW w:w="723"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1.【行政法规】《行政机关公务员处分条例》第二十条。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2.【行政法规】《行政机关公务员处分条例》第二十三条。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3.【行政法规】《行政机关公务员处分条例》第二十五条。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4.【行政法规】《行政机关公务员处分条例》第二十六条。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5.【行政法规】《行政机关公务员处分条例》第二十八条。</w:t>
            </w:r>
            <w:r>
              <w:rPr>
                <w:rFonts w:ascii="Times New Roman" w:hAnsi="Times New Roman" w:eastAsia="方正仿宋_GBK" w:cs="Times New Roman"/>
                <w:sz w:val="16"/>
                <w:szCs w:val="16"/>
              </w:rPr>
              <w:br w:type="textWrapping"/>
            </w: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vAlign w:val="center"/>
          </w:tcPr>
          <w:p>
            <w:pPr>
              <w:pStyle w:val="14"/>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bl>
    <w:p>
      <w:pPr>
        <w:rPr>
          <w:rFonts w:ascii="Times New Roman" w:hAnsi="Times New Roman" w:eastAsia="方正小标宋简体"/>
          <w:sz w:val="32"/>
          <w:szCs w:val="32"/>
        </w:rPr>
      </w:pPr>
    </w:p>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巴中市生态环境局</w:t>
      </w:r>
    </w:p>
    <w:tbl>
      <w:tblPr>
        <w:tblStyle w:val="11"/>
        <w:tblW w:w="4953"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86"/>
        <w:gridCol w:w="1080"/>
        <w:gridCol w:w="1018"/>
        <w:gridCol w:w="1052"/>
        <w:gridCol w:w="2623"/>
        <w:gridCol w:w="3659"/>
        <w:gridCol w:w="2728"/>
        <w:gridCol w:w="158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restar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89" w:type="pct"/>
            <w:vMerge w:val="restar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018" w:type="pct"/>
            <w:gridSpan w:val="3"/>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26" w:type="pct"/>
            <w:gridSpan w:val="5"/>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continue"/>
            <w:vAlign w:val="center"/>
          </w:tcPr>
          <w:p>
            <w:pPr>
              <w:spacing w:line="340" w:lineRule="exact"/>
              <w:jc w:val="center"/>
              <w:rPr>
                <w:rFonts w:ascii="Times New Roman" w:hAnsi="Times New Roman" w:eastAsia="方正小标宋简体"/>
                <w:sz w:val="18"/>
                <w:szCs w:val="18"/>
              </w:rPr>
            </w:pPr>
          </w:p>
        </w:tc>
        <w:tc>
          <w:tcPr>
            <w:tcW w:w="189" w:type="pct"/>
            <w:vMerge w:val="continue"/>
            <w:vAlign w:val="center"/>
          </w:tcPr>
          <w:p>
            <w:pPr>
              <w:spacing w:line="340" w:lineRule="exact"/>
              <w:jc w:val="center"/>
              <w:rPr>
                <w:rFonts w:ascii="Times New Roman" w:hAnsi="Times New Roman" w:eastAsia="方正小标宋简体"/>
                <w:sz w:val="18"/>
                <w:szCs w:val="18"/>
              </w:rPr>
            </w:pPr>
          </w:p>
        </w:tc>
        <w:tc>
          <w:tcPr>
            <w:tcW w:w="349"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9"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339"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848"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1183"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882"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513"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追责依据法律</w:t>
            </w:r>
          </w:p>
        </w:tc>
        <w:tc>
          <w:tcPr>
            <w:tcW w:w="198" w:type="pct"/>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5" w:hRule="atLeast"/>
        </w:trPr>
        <w:tc>
          <w:tcPr>
            <w:tcW w:w="166"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137</w:t>
            </w:r>
          </w:p>
        </w:tc>
        <w:tc>
          <w:tcPr>
            <w:tcW w:w="189" w:type="pct"/>
            <w:vAlign w:val="center"/>
          </w:tcPr>
          <w:p>
            <w:pPr>
              <w:pStyle w:val="14"/>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对重点排放单位虚报、瞒报温室气体排放报告，或者拒绝履行温室气体排放报告义务的行政处罚</w:t>
            </w:r>
          </w:p>
        </w:tc>
        <w:tc>
          <w:tcPr>
            <w:tcW w:w="329" w:type="pct"/>
            <w:vAlign w:val="center"/>
          </w:tcPr>
          <w:p>
            <w:pPr>
              <w:pStyle w:val="14"/>
              <w:spacing w:line="24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【部门规章】《碳排放权交易管理办法（试行）》第三十九条。</w:t>
            </w:r>
          </w:p>
        </w:tc>
        <w:tc>
          <w:tcPr>
            <w:tcW w:w="848"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1.立案责任：在检查中发现或者接到信访举报等环境违法线索或者移送的涉嫌环境违法案件，予以审查，决定是否立案。</w:t>
            </w:r>
            <w:r>
              <w:rPr>
                <w:rFonts w:ascii="Times New Roman" w:hAnsi="Times New Roman" w:eastAsia="方正仿宋_GBK"/>
                <w:sz w:val="15"/>
                <w:szCs w:val="15"/>
              </w:rPr>
              <w:br w:type="textWrapping"/>
            </w:r>
            <w:r>
              <w:rPr>
                <w:rFonts w:ascii="Times New Roman" w:hAnsi="Times New Roman" w:eastAsia="方正仿宋_GBK"/>
                <w:sz w:val="15"/>
                <w:szCs w:val="15"/>
              </w:rPr>
              <w:t>2.调查责任：指定专人负责，与当事人有直接利害关系的应当回避；执法人员不得少于两人；调查时应出示执法证件；依法全面调查，收集证据，如实记录。</w:t>
            </w:r>
            <w:r>
              <w:rPr>
                <w:rFonts w:ascii="Times New Roman" w:hAnsi="Times New Roman" w:eastAsia="方正仿宋_GBK"/>
                <w:sz w:val="15"/>
                <w:szCs w:val="15"/>
              </w:rPr>
              <w:br w:type="textWrapping"/>
            </w:r>
            <w:r>
              <w:rPr>
                <w:rFonts w:ascii="Times New Roman" w:hAnsi="Times New Roman" w:eastAsia="方正仿宋_GBK"/>
                <w:sz w:val="15"/>
                <w:szCs w:val="15"/>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r>
              <w:rPr>
                <w:rFonts w:ascii="Times New Roman" w:hAnsi="Times New Roman" w:eastAsia="方正仿宋_GBK"/>
                <w:sz w:val="15"/>
                <w:szCs w:val="15"/>
              </w:rPr>
              <w:br w:type="textWrapping"/>
            </w:r>
            <w:r>
              <w:rPr>
                <w:rFonts w:ascii="Times New Roman" w:hAnsi="Times New Roman" w:eastAsia="方正仿宋_GBK"/>
                <w:sz w:val="15"/>
                <w:szCs w:val="15"/>
              </w:rPr>
              <w:t>4.告知责任：在做出行政处罚决定前，应制作处罚事先（听证）告知书送达当事人；告知当事人有关事实、理由、依据和享有的陈述、申辩、要求听证等权利。</w:t>
            </w:r>
            <w:r>
              <w:rPr>
                <w:rFonts w:ascii="Times New Roman" w:hAnsi="Times New Roman" w:eastAsia="方正仿宋_GBK"/>
                <w:sz w:val="15"/>
                <w:szCs w:val="15"/>
              </w:rPr>
              <w:br w:type="textWrapping"/>
            </w:r>
            <w:r>
              <w:rPr>
                <w:rFonts w:ascii="Times New Roman" w:hAnsi="Times New Roman" w:eastAsia="方正仿宋_GBK"/>
                <w:sz w:val="15"/>
                <w:szCs w:val="15"/>
              </w:rPr>
              <w:t>5.决定责任：决定是否予以行政处罚。</w:t>
            </w:r>
            <w:r>
              <w:rPr>
                <w:rFonts w:ascii="Times New Roman" w:hAnsi="Times New Roman" w:eastAsia="方正仿宋_GBK"/>
                <w:sz w:val="15"/>
                <w:szCs w:val="15"/>
              </w:rPr>
              <w:br w:type="textWrapping"/>
            </w:r>
            <w:r>
              <w:rPr>
                <w:rFonts w:ascii="Times New Roman" w:hAnsi="Times New Roman" w:eastAsia="方正仿宋_GBK"/>
                <w:sz w:val="15"/>
                <w:szCs w:val="15"/>
              </w:rPr>
              <w:t>6.送达责任：送达当事人行政处罚决定书。</w:t>
            </w:r>
            <w:r>
              <w:rPr>
                <w:rFonts w:ascii="Times New Roman" w:hAnsi="Times New Roman" w:eastAsia="方正仿宋_GBK"/>
                <w:sz w:val="15"/>
                <w:szCs w:val="15"/>
              </w:rPr>
              <w:br w:type="textWrapping"/>
            </w:r>
            <w:r>
              <w:rPr>
                <w:rFonts w:ascii="Times New Roman" w:hAnsi="Times New Roman" w:eastAsia="方正仿宋_GBK"/>
                <w:sz w:val="15"/>
                <w:szCs w:val="15"/>
              </w:rPr>
              <w:t>7.执行责任：当事人在法定期限内不申请行政复议或者提起行政诉讼，又不履行的，申请人民法院强制执行。</w:t>
            </w:r>
            <w:r>
              <w:rPr>
                <w:rFonts w:ascii="Times New Roman" w:hAnsi="Times New Roman" w:eastAsia="方正仿宋_GBK"/>
                <w:sz w:val="15"/>
                <w:szCs w:val="15"/>
              </w:rPr>
              <w:br w:type="textWrapping"/>
            </w:r>
            <w:r>
              <w:rPr>
                <w:rFonts w:ascii="Times New Roman" w:hAnsi="Times New Roman" w:eastAsia="方正仿宋_GBK"/>
                <w:sz w:val="15"/>
                <w:szCs w:val="15"/>
              </w:rPr>
              <w:t>8.其他责任：公开行政处罚决定信息。其他法律法规规章等规定应履行的责任。</w:t>
            </w:r>
          </w:p>
        </w:tc>
        <w:tc>
          <w:tcPr>
            <w:tcW w:w="1183"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2-1.【法律】《中华人民共和国行政处罚法》第四十三条第一款。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2-2.【部门规章】《环境行政处罚办法》第二十六条。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2-3.【部门规章】《环境行政处罚办法》第二十八条。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2-4.【法律】《中华人民共和国行政处罚法》第四十二条第一款。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2-5.【法律】《中华人民共和国行政处罚法》第五十四条第一款。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3-1【部门规章】《环境行政处罚办法》第四十六条。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3-2.【法律】《中华人民共和国行政处罚法》第六十四条。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3-3.【法律】《中华人民共和国行政处罚法》第六十五条。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3-4.【法律】《中华人民共和国行政处罚法》第五十七条第二款。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5.【法律】《中华人民共和国行政处罚法》第五十七条。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7.【法律】《中华人民共和国行政处罚法》第七十二条。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8.【法律】《中华人民共和国行政处罚法》第四十八条第一款。</w:t>
            </w:r>
          </w:p>
        </w:tc>
        <w:tc>
          <w:tcPr>
            <w:tcW w:w="882"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1.没有法定的行政处罚依据，擅自改变行政处罚种类、幅度，违反法定的行政处罚程序，违反关于委托处罚的规定，执法人员未取得执法证件；</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3.使用或者损毁查封、扣押的财物，对当事人造成损失；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4.违法实施检查措施或者执行措施，给公民人身或者财产造成损害、给法人或者其他组织造成损失；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5.对应当依法移交司法机关追究刑事责任的案件不移交，以行政处罚代替刑事处罚；</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6.对应当予以制止和处罚的违法行为不予制止、处罚，致使公民、法人或者其他组织的合法权益、公共利益和社会秩序遭受损害；</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7.除以上追责情形外，其他违反法律法规规章的行为依法追究相应责任。</w:t>
            </w:r>
          </w:p>
        </w:tc>
        <w:tc>
          <w:tcPr>
            <w:tcW w:w="513"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vAlign w:val="center"/>
          </w:tcPr>
          <w:p>
            <w:pPr>
              <w:pStyle w:val="3"/>
              <w:spacing w:before="7" w:line="240" w:lineRule="exact"/>
              <w:jc w:val="left"/>
              <w:rPr>
                <w:rFonts w:ascii="Times New Roman" w:hAnsi="Times New Roman" w:eastAsia="方正仿宋_GBK" w:cs="Times New Roman"/>
                <w:sz w:val="15"/>
                <w:szCs w:val="15"/>
              </w:rPr>
            </w:pPr>
            <w:r>
              <w:rPr>
                <w:rFonts w:ascii="Times New Roman" w:hAnsi="Times New Roman" w:eastAsia="方正仿宋_GBK" w:cs="Times New Roman"/>
                <w:sz w:val="15"/>
                <w:szCs w:val="15"/>
              </w:rPr>
              <w:t>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8" w:hRule="atLeast"/>
        </w:trPr>
        <w:tc>
          <w:tcPr>
            <w:tcW w:w="166"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138</w:t>
            </w:r>
          </w:p>
        </w:tc>
        <w:tc>
          <w:tcPr>
            <w:tcW w:w="189" w:type="pct"/>
            <w:vAlign w:val="center"/>
          </w:tcPr>
          <w:p>
            <w:pPr>
              <w:pStyle w:val="14"/>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对重点排放单位未按时足额清缴碳排放配额的行政处罚</w:t>
            </w:r>
          </w:p>
        </w:tc>
        <w:tc>
          <w:tcPr>
            <w:tcW w:w="329" w:type="pct"/>
            <w:vAlign w:val="center"/>
          </w:tcPr>
          <w:p>
            <w:pPr>
              <w:pStyle w:val="14"/>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【部门规章】《碳排放权交易管理办法（试行）》第四十条。</w:t>
            </w:r>
          </w:p>
        </w:tc>
        <w:tc>
          <w:tcPr>
            <w:tcW w:w="848"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1.立案责任：在检查中发现或者接到信访举报等环境违法线索或者移送的涉嫌环境违法案件，予以审查，决定是否立案。</w:t>
            </w:r>
            <w:r>
              <w:rPr>
                <w:rFonts w:ascii="Times New Roman" w:hAnsi="Times New Roman" w:eastAsia="方正仿宋_GBK"/>
                <w:sz w:val="13"/>
                <w:szCs w:val="13"/>
              </w:rPr>
              <w:br w:type="textWrapping"/>
            </w:r>
            <w:r>
              <w:rPr>
                <w:rFonts w:ascii="Times New Roman" w:hAnsi="Times New Roman" w:eastAsia="方正仿宋_GBK"/>
                <w:sz w:val="13"/>
                <w:szCs w:val="13"/>
              </w:rPr>
              <w:t>2.调查责任：指定专人负责，与当事人有直接利害关系的应当回避；执法人员不得少于两人；调查时应出示执法证件；依法全面调查，收集证据，如实记录。</w:t>
            </w:r>
            <w:r>
              <w:rPr>
                <w:rFonts w:ascii="Times New Roman" w:hAnsi="Times New Roman" w:eastAsia="方正仿宋_GBK"/>
                <w:sz w:val="13"/>
                <w:szCs w:val="13"/>
              </w:rPr>
              <w:br w:type="textWrapping"/>
            </w:r>
            <w:r>
              <w:rPr>
                <w:rFonts w:ascii="Times New Roman" w:hAnsi="Times New Roman" w:eastAsia="方正仿宋_GBK"/>
                <w:sz w:val="13"/>
                <w:szCs w:val="13"/>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r>
              <w:rPr>
                <w:rFonts w:ascii="Times New Roman" w:hAnsi="Times New Roman" w:eastAsia="方正仿宋_GBK"/>
                <w:sz w:val="13"/>
                <w:szCs w:val="13"/>
              </w:rPr>
              <w:br w:type="textWrapping"/>
            </w:r>
            <w:r>
              <w:rPr>
                <w:rFonts w:ascii="Times New Roman" w:hAnsi="Times New Roman" w:eastAsia="方正仿宋_GBK"/>
                <w:sz w:val="13"/>
                <w:szCs w:val="13"/>
              </w:rPr>
              <w:t>4.告知责任：在做出行政处罚决定前，应制作处罚事先（听证）告知书送达当事人；告知当事人有关事实、理由、依据和享有的陈述、申辩、要求听证等权利。</w:t>
            </w:r>
            <w:r>
              <w:rPr>
                <w:rFonts w:ascii="Times New Roman" w:hAnsi="Times New Roman" w:eastAsia="方正仿宋_GBK"/>
                <w:sz w:val="13"/>
                <w:szCs w:val="13"/>
              </w:rPr>
              <w:br w:type="textWrapping"/>
            </w:r>
            <w:r>
              <w:rPr>
                <w:rFonts w:ascii="Times New Roman" w:hAnsi="Times New Roman" w:eastAsia="方正仿宋_GBK"/>
                <w:sz w:val="13"/>
                <w:szCs w:val="13"/>
              </w:rPr>
              <w:t>5.决定责任：决定是否予以行政处罚。</w:t>
            </w:r>
            <w:r>
              <w:rPr>
                <w:rFonts w:ascii="Times New Roman" w:hAnsi="Times New Roman" w:eastAsia="方正仿宋_GBK"/>
                <w:sz w:val="13"/>
                <w:szCs w:val="13"/>
              </w:rPr>
              <w:br w:type="textWrapping"/>
            </w:r>
            <w:r>
              <w:rPr>
                <w:rFonts w:ascii="Times New Roman" w:hAnsi="Times New Roman" w:eastAsia="方正仿宋_GBK"/>
                <w:sz w:val="13"/>
                <w:szCs w:val="13"/>
              </w:rPr>
              <w:t>6.送达责任：送达当事人行政处罚决定书。</w:t>
            </w:r>
            <w:r>
              <w:rPr>
                <w:rFonts w:ascii="Times New Roman" w:hAnsi="Times New Roman" w:eastAsia="方正仿宋_GBK"/>
                <w:sz w:val="13"/>
                <w:szCs w:val="13"/>
              </w:rPr>
              <w:br w:type="textWrapping"/>
            </w:r>
            <w:r>
              <w:rPr>
                <w:rFonts w:ascii="Times New Roman" w:hAnsi="Times New Roman" w:eastAsia="方正仿宋_GBK"/>
                <w:sz w:val="13"/>
                <w:szCs w:val="13"/>
              </w:rPr>
              <w:t>7.执行责任：当事人在法定期限内不申请行政复议或者提起行政诉讼，又不履行的，申请人民法院强制执行。</w:t>
            </w:r>
            <w:r>
              <w:rPr>
                <w:rFonts w:ascii="Times New Roman" w:hAnsi="Times New Roman" w:eastAsia="方正仿宋_GBK"/>
                <w:sz w:val="13"/>
                <w:szCs w:val="13"/>
              </w:rPr>
              <w:br w:type="textWrapping"/>
            </w:r>
            <w:r>
              <w:rPr>
                <w:rFonts w:ascii="Times New Roman" w:hAnsi="Times New Roman" w:eastAsia="方正仿宋_GBK"/>
                <w:sz w:val="13"/>
                <w:szCs w:val="13"/>
              </w:rPr>
              <w:t>8.其他责任：公开行政处罚决定信息。其他法律法规规章等规定应履行的责任。</w:t>
            </w:r>
          </w:p>
        </w:tc>
        <w:tc>
          <w:tcPr>
            <w:tcW w:w="1183"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1.【法律】《中华人民共和国行政处罚法》第五十四条第二款。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2-1.【法律】《中华人民共和国行政处罚法》第四十三条第一款。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2-2.【部门规章】《环境行政处罚办法》第二十六条。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2-3.【部门规章】《环境行政处罚办法》第二十八条。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2-4.【法律】《中华人民共和国行政处罚法》第四十二条第一款。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2-5.【法律】《中华人民共和国行政处罚法》第五十四条第一款。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3-1【部门规章】《环境行政处罚办法》第四十六条。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3-2.【法律】《中华人民共和国行政处罚法》第六十四条。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3-3.【法律】《中华人民共和国行政处罚法》第六十五条。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3-4.【法律】《中华人民共和国行政处罚法》第五十七条第二款。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4.【法律】《中华人民共和国行政处罚法》第四十四条。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5.【法律】《中华人民共和国行政处罚法》第五十七条。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6.【法律】《中华人民共和国行政处罚法》第六十一条。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7.【法律】《中华人民共和国行政处罚法》第七十二条。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8.【法律】《中华人民共和国行政处罚法》第四十八条第一款。</w:t>
            </w:r>
          </w:p>
        </w:tc>
        <w:tc>
          <w:tcPr>
            <w:tcW w:w="882"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1.没有法定的行政处罚依据，擅自改变行政处罚种类、幅度，违反法定的行政处罚程序，违反关于委托处罚的规定，执法人员未取得执法证件；</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4.违法实施检查措施或者执行措施，给公民人身或者财产造成损害、给法人或者其他组织造成损失；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7.除以上追责情形外，其他违反法律法规规章的行为依法追究相应责任。</w:t>
            </w:r>
          </w:p>
        </w:tc>
        <w:tc>
          <w:tcPr>
            <w:tcW w:w="513"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139</w:t>
            </w:r>
          </w:p>
        </w:tc>
        <w:tc>
          <w:tcPr>
            <w:tcW w:w="189" w:type="pct"/>
            <w:vAlign w:val="center"/>
          </w:tcPr>
          <w:p>
            <w:pPr>
              <w:pStyle w:val="14"/>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49" w:type="pct"/>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对重点排放单位温室气体排放和碳排放配额清缴情况的监督检查</w:t>
            </w:r>
          </w:p>
        </w:tc>
        <w:tc>
          <w:tcPr>
            <w:tcW w:w="329" w:type="pct"/>
            <w:vAlign w:val="center"/>
          </w:tcPr>
          <w:p>
            <w:pPr>
              <w:pStyle w:val="14"/>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【部门规章】《碳排放权交易管理办法（试行）》第三十一条。</w:t>
            </w:r>
          </w:p>
        </w:tc>
        <w:tc>
          <w:tcPr>
            <w:tcW w:w="848"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rPr>
              <w:t>1.</w:t>
            </w:r>
            <w:r>
              <w:rPr>
                <w:rFonts w:ascii="Times New Roman" w:hAnsi="Times New Roman" w:eastAsia="方正仿宋_GBK"/>
                <w:sz w:val="13"/>
                <w:szCs w:val="13"/>
              </w:rPr>
              <w:t>检查责任：出示执法证件；不得少于两人；符合回避条件的应当回避；听取陈述、申辩；保守商业秘密。</w:t>
            </w:r>
            <w:r>
              <w:rPr>
                <w:rFonts w:ascii="Times New Roman" w:hAnsi="Times New Roman" w:eastAsia="方正仿宋_GBK"/>
                <w:sz w:val="13"/>
                <w:szCs w:val="13"/>
              </w:rPr>
              <w:br w:type="textWrapping"/>
            </w:r>
            <w:r>
              <w:rPr>
                <w:rFonts w:ascii="Times New Roman" w:hAnsi="Times New Roman" w:eastAsia="方正仿宋_GBK"/>
                <w:sz w:val="13"/>
                <w:szCs w:val="13"/>
              </w:rPr>
              <w:t>2.处置责任：对违反生态环境保护有关规定的，依法作出处理或者处罚决定。</w:t>
            </w:r>
          </w:p>
          <w:p>
            <w:pPr>
              <w:widowControl/>
              <w:spacing w:line="220" w:lineRule="exact"/>
              <w:textAlignment w:val="top"/>
              <w:rPr>
                <w:rFonts w:ascii="Times New Roman" w:hAnsi="Times New Roman"/>
              </w:rPr>
            </w:pPr>
            <w:r>
              <w:rPr>
                <w:rFonts w:ascii="Times New Roman" w:hAnsi="Times New Roman" w:eastAsia="方正仿宋_GBK"/>
                <w:sz w:val="13"/>
                <w:szCs w:val="13"/>
              </w:rPr>
              <w:t>3.移送责任：不属于本机关管辖的案件，移送有管辖权的其他生态环境部门或其他管理部门。</w:t>
            </w:r>
            <w:r>
              <w:rPr>
                <w:rFonts w:ascii="Times New Roman" w:hAnsi="Times New Roman" w:eastAsia="方正仿宋_GBK"/>
                <w:sz w:val="13"/>
                <w:szCs w:val="13"/>
              </w:rPr>
              <w:br w:type="textWrapping"/>
            </w:r>
            <w:r>
              <w:rPr>
                <w:rFonts w:ascii="Times New Roman" w:hAnsi="Times New Roman" w:eastAsia="方正仿宋_GBK"/>
                <w:sz w:val="13"/>
                <w:szCs w:val="13"/>
              </w:rPr>
              <w:t>4.其他责任：法律法规规章文件规定应履行的其他责任</w:t>
            </w:r>
            <w:r>
              <w:rPr>
                <w:rFonts w:ascii="Times New Roman" w:hAnsi="Times New Roman"/>
              </w:rPr>
              <w:t>。</w:t>
            </w:r>
          </w:p>
        </w:tc>
        <w:tc>
          <w:tcPr>
            <w:tcW w:w="1183"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1-1.【法律】《中华人民共和国行政处罚法》第四十二条第一款。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1-2.【部门规章】《环境行政处罚办法》第二十八条。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1-3.【法律】《中华人民共和国行政处罚法》第四十三条第一款。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1-4.【法律】《中华人民共和国行政处罚法》第四十五条第一款。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1-5.【法律】《中华人民共和国行政处罚法》第五十条。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2.【法律】《中华人民共和国行政处罚法》第四条。</w:t>
            </w:r>
          </w:p>
          <w:p>
            <w:pPr>
              <w:widowControl/>
              <w:spacing w:line="220" w:lineRule="exact"/>
              <w:textAlignment w:val="top"/>
              <w:rPr>
                <w:rFonts w:ascii="Times New Roman" w:hAnsi="Times New Roman"/>
              </w:rPr>
            </w:pPr>
            <w:r>
              <w:rPr>
                <w:rFonts w:ascii="Times New Roman" w:hAnsi="Times New Roman" w:eastAsia="方正仿宋_GBK"/>
                <w:sz w:val="13"/>
                <w:szCs w:val="13"/>
              </w:rPr>
              <w:t>3.【部门规章】《环境行政处罚办法》第十六条。</w:t>
            </w:r>
          </w:p>
        </w:tc>
        <w:tc>
          <w:tcPr>
            <w:tcW w:w="882" w:type="pct"/>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2.违法实施检查措施，给公民人身或者财产造成损害、给法人或者其他组织造成损失；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5.除以上追责情形外，其他违反法律法规规章的行为依法追究相应责任。</w:t>
            </w:r>
          </w:p>
        </w:tc>
        <w:tc>
          <w:tcPr>
            <w:tcW w:w="513"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4.【法律】《中华人民共和国行政处罚法》第八十三条。</w:t>
            </w:r>
          </w:p>
        </w:tc>
        <w:tc>
          <w:tcPr>
            <w:tcW w:w="198" w:type="pct"/>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bl>
    <w:p>
      <w:pPr>
        <w:numPr>
          <w:ilvl w:val="0"/>
          <w:numId w:val="2"/>
        </w:numPr>
        <w:jc w:val="center"/>
        <w:rPr>
          <w:rFonts w:ascii="Times New Roman" w:hAnsi="Times New Roman" w:eastAsia="方正小标宋简体"/>
          <w:sz w:val="32"/>
          <w:szCs w:val="32"/>
        </w:rPr>
      </w:pPr>
      <w:r>
        <w:rPr>
          <w:rFonts w:ascii="Times New Roman" w:hAnsi="Times New Roman" w:eastAsia="方正小标宋简体"/>
          <w:sz w:val="32"/>
          <w:szCs w:val="32"/>
        </w:rPr>
        <w:t>巴中市医疗保障局</w:t>
      </w:r>
    </w:p>
    <w:tbl>
      <w:tblPr>
        <w:tblStyle w:val="11"/>
        <w:tblW w:w="49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601"/>
        <w:gridCol w:w="1018"/>
        <w:gridCol w:w="990"/>
        <w:gridCol w:w="1803"/>
        <w:gridCol w:w="3419"/>
        <w:gridCol w:w="1873"/>
        <w:gridCol w:w="3119"/>
        <w:gridCol w:w="1499"/>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94" w:type="pct"/>
            <w:vMerge w:val="restar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232" w:type="pct"/>
            <w:gridSpan w:val="3"/>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401" w:type="pct"/>
            <w:gridSpan w:val="5"/>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vAlign w:val="center"/>
          </w:tcPr>
          <w:p>
            <w:pPr>
              <w:spacing w:line="240" w:lineRule="exact"/>
              <w:jc w:val="center"/>
              <w:rPr>
                <w:rFonts w:ascii="Times New Roman" w:hAnsi="Times New Roman" w:eastAsia="方正小标宋简体"/>
                <w:sz w:val="18"/>
                <w:szCs w:val="18"/>
              </w:rPr>
            </w:pPr>
          </w:p>
        </w:tc>
        <w:tc>
          <w:tcPr>
            <w:tcW w:w="194" w:type="pct"/>
            <w:vMerge w:val="continue"/>
            <w:vAlign w:val="center"/>
          </w:tcPr>
          <w:p>
            <w:pPr>
              <w:spacing w:line="240" w:lineRule="exact"/>
              <w:jc w:val="center"/>
              <w:rPr>
                <w:rFonts w:ascii="Times New Roman" w:hAnsi="Times New Roman" w:eastAsia="方正小标宋简体"/>
                <w:sz w:val="18"/>
                <w:szCs w:val="18"/>
              </w:rPr>
            </w:pPr>
          </w:p>
        </w:tc>
        <w:tc>
          <w:tcPr>
            <w:tcW w:w="329"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0"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582"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1106"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06"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1009"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485"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194" w:type="pct"/>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140</w:t>
            </w:r>
          </w:p>
        </w:tc>
        <w:tc>
          <w:tcPr>
            <w:tcW w:w="194" w:type="pct"/>
            <w:vAlign w:val="center"/>
          </w:tcPr>
          <w:p>
            <w:pPr>
              <w:pStyle w:val="14"/>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2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对参加药品采购投标的投标人以低于成本的报价竞标，或者以欺诈、串通投标、滥用市场支配地位等方式竞标的行政处罚</w:t>
            </w:r>
          </w:p>
        </w:tc>
        <w:tc>
          <w:tcPr>
            <w:tcW w:w="320"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【法律】《中华人民共和国基本医疗卫生与健康促进法》第一百零三条。</w:t>
            </w:r>
          </w:p>
        </w:tc>
        <w:tc>
          <w:tcPr>
            <w:tcW w:w="11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1.立案责任：发现参加药品采购投标的投标人，以低于成本的报价竞标，或者以欺诈、串通投标、滥用市场支配地位等方式竞标的，予以审查，决定是否立案。</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2.调查责任：对立案的案件及时组织调查取证，与当事人有直接利害关系的应当回避。</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3.告知责任：作出行政处罚决定前，应制作《行政处罚告知书》送达当事人，告知拟作出行政处罚决定的事实、理由及依据，并告知当事人依法享有的权利。</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4.决定责任：对案件违法事实、证据、调查取证程序、法律适用、处罚种类和幅度、当事人陈述和申辩等进行审查，根据法制审核集体讨论意见，制作《行政处罚决定书》。</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5.送达责任：按照法律法规规定的方式和时限，将《行政处罚决定书》送达当事人。</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6.执行责任：依照生效的行政处罚决定申请强制执行。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7.保密责任：按照相关规定对当事人的个人信息和商业秘密予以保密。</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8.其他责任：依法依规应履行的其他责任。</w:t>
            </w:r>
          </w:p>
        </w:tc>
        <w:tc>
          <w:tcPr>
            <w:tcW w:w="6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2.【法律】《中华人民共和国行政处罚法》第四十二条。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4.【法律】《中华人民共和国行政处罚法》第五十九条。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7.【法律】《中华人民共和国行政处罚法》第五十条。</w:t>
            </w:r>
          </w:p>
        </w:tc>
        <w:tc>
          <w:tcPr>
            <w:tcW w:w="100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因不履行或不正当履行行政职责，有下列情形的，行政机关及相关工作人员应承担相应责任：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2.不按照法定处罚种类、幅度和程序实施行政处罚的；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3.下达或者变相下达罚没指标的；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4.对应当予以处罚的违法行为不处罚的；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5.以行政处罚代替刑事处罚的；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6.违反罚款决定与罚款收缴分离的有关规定的；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7.不开据罚款、没收财物单据或者使用非法定部门制发的罚款、没收财物单据的；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8.使用、丢失、损毁扣押的财物的；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9.将罚款、没收的违法所得或者财物截留、私分或者变相私分的；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10.其他违反法律法规规章文件规定的；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11.徇私舞弊、包庇纵容违法行为的。</w:t>
            </w:r>
          </w:p>
        </w:tc>
        <w:tc>
          <w:tcPr>
            <w:tcW w:w="485"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1-10.【地方政府规章】《四川省行政机关工作人员行政过错责任追究试行办法》第十一条。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11.【法律】《中华人民共和国公务员法》第一百零四条。</w:t>
            </w:r>
          </w:p>
        </w:tc>
        <w:tc>
          <w:tcPr>
            <w:tcW w:w="194"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71"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141</w:t>
            </w:r>
          </w:p>
        </w:tc>
        <w:tc>
          <w:tcPr>
            <w:tcW w:w="194" w:type="pct"/>
            <w:vAlign w:val="center"/>
          </w:tcPr>
          <w:p>
            <w:pPr>
              <w:pStyle w:val="14"/>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对药品、医用耗材价格进行监测和成本调查</w:t>
            </w:r>
          </w:p>
        </w:tc>
        <w:tc>
          <w:tcPr>
            <w:tcW w:w="320"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1.【法律】《中华人民共和国药品管理法》第八十四条、第八十六条。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142</w:t>
            </w:r>
          </w:p>
        </w:tc>
        <w:tc>
          <w:tcPr>
            <w:tcW w:w="194" w:type="pct"/>
            <w:vAlign w:val="center"/>
          </w:tcPr>
          <w:p>
            <w:pPr>
              <w:pStyle w:val="14"/>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对药品上市许可持有人、药品和医用耗材生产企业、药品经营企业和医疗机构向医药价格主管部门提供其药品、医用耗材的实际购销价格和购销数量等资料的监督检查</w:t>
            </w:r>
          </w:p>
        </w:tc>
        <w:tc>
          <w:tcPr>
            <w:tcW w:w="320"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1.【法律】《中华人民共和国药品管理法》第八十六条。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3.《中共巴中市委办公室 巴中市人民政府办公室》关于印发〈巴中市医疗保障局职能配置、内设机构和人员编制规定〉的通知。</w:t>
            </w:r>
          </w:p>
        </w:tc>
        <w:tc>
          <w:tcPr>
            <w:tcW w:w="11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143</w:t>
            </w:r>
          </w:p>
        </w:tc>
        <w:tc>
          <w:tcPr>
            <w:tcW w:w="194" w:type="pct"/>
            <w:vAlign w:val="center"/>
          </w:tcPr>
          <w:p>
            <w:pPr>
              <w:pStyle w:val="14"/>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对公立医疗机构药品和高值医用耗材集中采购行为合规性的监督检查</w:t>
            </w:r>
          </w:p>
        </w:tc>
        <w:tc>
          <w:tcPr>
            <w:tcW w:w="320" w:type="pct"/>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bl>
    <w:p>
      <w:pPr>
        <w:spacing w:line="240" w:lineRule="exact"/>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sectPr>
          <w:footerReference r:id="rId4" w:type="default"/>
          <w:pgSz w:w="16838" w:h="11906" w:orient="landscape"/>
          <w:pgMar w:top="720" w:right="720" w:bottom="720" w:left="720" w:header="851" w:footer="992" w:gutter="0"/>
          <w:cols w:space="425" w:num="1"/>
          <w:docGrid w:type="lines" w:linePitch="312" w:charSpace="0"/>
        </w:sect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hint="eastAsia"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pStyle w:val="6"/>
        <w:rPr>
          <w:rFonts w:ascii="Times New Roman" w:hAnsi="Times New Roman" w:eastAsia="仿宋_GB2312"/>
          <w:sz w:val="15"/>
          <w:szCs w:val="15"/>
        </w:rPr>
      </w:pPr>
    </w:p>
    <w:p>
      <w:pPr>
        <w:spacing w:line="560" w:lineRule="exact"/>
        <w:rPr>
          <w:rFonts w:ascii="Times New Roman" w:hAnsi="Times New Roman" w:eastAsia="方正小标宋简体"/>
          <w:sz w:val="32"/>
          <w:szCs w:val="32"/>
        </w:rPr>
      </w:pPr>
      <w:r>
        <w:rPr>
          <w:rFonts w:ascii="Times New Roman" w:hAnsi="Times New Roman" w:eastAsia="黑体"/>
          <w:sz w:val="32"/>
        </w:rPr>
        <w:t>信息公开选项：</w:t>
      </w:r>
      <w:r>
        <w:rPr>
          <w:rFonts w:ascii="Times New Roman" w:hAnsi="Times New Roman" w:eastAsia="方正小标宋简体"/>
          <w:sz w:val="32"/>
          <w:szCs w:val="32"/>
        </w:rPr>
        <w:t>主动公开</w:t>
      </w:r>
    </w:p>
    <w:tbl>
      <w:tblPr>
        <w:tblStyle w:val="10"/>
        <w:tblpPr w:leftFromText="180" w:rightFromText="180" w:vertAnchor="text" w:horzAnchor="page" w:tblpX="1660" w:tblpY="150"/>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20" w:lineRule="exact"/>
              <w:ind w:left="981" w:leftChars="67" w:hanging="840" w:hangingChars="300"/>
              <w:rPr>
                <w:rFonts w:ascii="Times New Roman" w:hAnsi="Times New Roman" w:eastAsia="仿宋_GB2312"/>
                <w:sz w:val="28"/>
                <w:szCs w:val="32"/>
              </w:rPr>
            </w:pPr>
            <w:r>
              <w:rPr>
                <w:rFonts w:ascii="Times New Roman" w:hAnsi="Times New Roman" w:eastAsia="仿宋_GB2312"/>
                <w:sz w:val="28"/>
                <w:szCs w:val="32"/>
              </w:rPr>
              <w:t>抄送：市</w:t>
            </w:r>
            <w:r>
              <w:rPr>
                <w:rFonts w:ascii="Times New Roman" w:hAnsi="Times New Roman" w:eastAsia="仿宋_GB2312"/>
                <w:spacing w:val="-8"/>
                <w:sz w:val="28"/>
                <w:szCs w:val="32"/>
              </w:rPr>
              <w:t>委办，市人大常委办，市政协办，市纪委监委机关，市法院，</w:t>
            </w:r>
            <w:r>
              <w:rPr>
                <w:rFonts w:ascii="Times New Roman" w:hAnsi="Times New Roman" w:eastAsia="仿宋_GB2312"/>
                <w:sz w:val="28"/>
                <w:szCs w:val="32"/>
              </w:rPr>
              <w:t>市检察院，巴中军分区。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tcPr>
          <w:p>
            <w:pPr>
              <w:spacing w:line="560" w:lineRule="exact"/>
              <w:ind w:firstLine="140" w:firstLineChars="50"/>
              <w:rPr>
                <w:rFonts w:ascii="Times New Roman" w:hAnsi="Times New Roman" w:eastAsia="仿宋_GB2312"/>
                <w:sz w:val="28"/>
                <w:szCs w:val="32"/>
              </w:rPr>
            </w:pPr>
            <w:r>
              <w:rPr>
                <w:rFonts w:ascii="Times New Roman" w:hAnsi="Times New Roman" w:eastAsia="仿宋_GB2312"/>
                <w:sz w:val="28"/>
                <w:szCs w:val="32"/>
              </w:rPr>
              <w:t>巴中市人民政府办公室                  2022年4月20日印发</w:t>
            </w:r>
          </w:p>
        </w:tc>
      </w:tr>
    </w:tbl>
    <w:p>
      <w:pPr>
        <w:rPr>
          <w:rFonts w:ascii="Times New Roman" w:hAnsi="Times New Roman"/>
        </w:rPr>
      </w:pPr>
    </w:p>
    <w:sectPr>
      <w:footerReference r:id="rId5" w:type="default"/>
      <w:pgSz w:w="11906" w:h="16838"/>
      <w:pgMar w:top="1985" w:right="1418" w:bottom="1814"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ESI宋体-GB13000">
    <w:altName w:val="宋体"/>
    <w:panose1 w:val="02000500000000000000"/>
    <w:charset w:val="86"/>
    <w:family w:val="auto"/>
    <w:pitch w:val="default"/>
    <w:sig w:usb0="00000000" w:usb1="00000000" w:usb2="00000016" w:usb3="00000000" w:csb0="0004000F"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joinstyle="miter"/>
          <v:imagedata o:title=""/>
          <o:lock v:ext="edit"/>
          <v:textbox inset="0mm,0mm,0mm,0mm" style="mso-fit-shape-to-text:t;">
            <w:txbxContent>
              <w:p>
                <w:pPr>
                  <w:pStyle w:val="5"/>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5"/>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133</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9298"/>
    <w:multiLevelType w:val="singleLevel"/>
    <w:tmpl w:val="FFFF9298"/>
    <w:lvl w:ilvl="0" w:tentative="0">
      <w:start w:val="1"/>
      <w:numFmt w:val="chineseCounting"/>
      <w:suff w:val="space"/>
      <w:lvlText w:val="%1、"/>
      <w:lvlJc w:val="left"/>
      <w:rPr>
        <w:rFonts w:hint="eastAsia"/>
      </w:rPr>
    </w:lvl>
  </w:abstractNum>
  <w:abstractNum w:abstractNumId="1">
    <w:nsid w:val="6ECB2E4F"/>
    <w:multiLevelType w:val="multilevel"/>
    <w:tmpl w:val="6ECB2E4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1947CF"/>
    <w:rsid w:val="001335D4"/>
    <w:rsid w:val="00392FFB"/>
    <w:rsid w:val="004B4914"/>
    <w:rsid w:val="008408A0"/>
    <w:rsid w:val="00D87F8E"/>
    <w:rsid w:val="07E7C3AF"/>
    <w:rsid w:val="0BF7E194"/>
    <w:rsid w:val="0D3F6BAD"/>
    <w:rsid w:val="0D8749A0"/>
    <w:rsid w:val="0EDFCD91"/>
    <w:rsid w:val="0F528195"/>
    <w:rsid w:val="0FD3ADF7"/>
    <w:rsid w:val="0FDF50FA"/>
    <w:rsid w:val="0FEF4FA1"/>
    <w:rsid w:val="0FF9E1AF"/>
    <w:rsid w:val="107DA76D"/>
    <w:rsid w:val="10FF13C1"/>
    <w:rsid w:val="133C3A14"/>
    <w:rsid w:val="13E5E135"/>
    <w:rsid w:val="15CD5064"/>
    <w:rsid w:val="16EE726E"/>
    <w:rsid w:val="16EF4ABE"/>
    <w:rsid w:val="1755D0B9"/>
    <w:rsid w:val="176E1DBF"/>
    <w:rsid w:val="1773197E"/>
    <w:rsid w:val="177BE373"/>
    <w:rsid w:val="17BA75F2"/>
    <w:rsid w:val="17DD522F"/>
    <w:rsid w:val="17DFFA0C"/>
    <w:rsid w:val="17ECDA7D"/>
    <w:rsid w:val="17FB55E5"/>
    <w:rsid w:val="19ED025B"/>
    <w:rsid w:val="1AF75602"/>
    <w:rsid w:val="1AFBE1E9"/>
    <w:rsid w:val="1B1FFFAA"/>
    <w:rsid w:val="1B2F709E"/>
    <w:rsid w:val="1B5E6F62"/>
    <w:rsid w:val="1BE7D637"/>
    <w:rsid w:val="1BFE76A2"/>
    <w:rsid w:val="1BFF0C90"/>
    <w:rsid w:val="1C59BFC8"/>
    <w:rsid w:val="1CFD4ED1"/>
    <w:rsid w:val="1CFF2D1A"/>
    <w:rsid w:val="1D4F943E"/>
    <w:rsid w:val="1DAFE78D"/>
    <w:rsid w:val="1DDFD6F4"/>
    <w:rsid w:val="1DEDE5B4"/>
    <w:rsid w:val="1DFF0FD8"/>
    <w:rsid w:val="1DFF3C01"/>
    <w:rsid w:val="1ED7D089"/>
    <w:rsid w:val="1F2C9965"/>
    <w:rsid w:val="1F75120F"/>
    <w:rsid w:val="1F7AD705"/>
    <w:rsid w:val="1F7D72A3"/>
    <w:rsid w:val="1FAF82E2"/>
    <w:rsid w:val="1FB7B6A9"/>
    <w:rsid w:val="1FDD93DC"/>
    <w:rsid w:val="1FDE328B"/>
    <w:rsid w:val="1FDF6E5F"/>
    <w:rsid w:val="1FDF77E7"/>
    <w:rsid w:val="1FEFE0DE"/>
    <w:rsid w:val="1FEFF448"/>
    <w:rsid w:val="1FF76897"/>
    <w:rsid w:val="1FF95DDB"/>
    <w:rsid w:val="1FFA6F55"/>
    <w:rsid w:val="20BEB1A0"/>
    <w:rsid w:val="22FEEE7D"/>
    <w:rsid w:val="259B040C"/>
    <w:rsid w:val="26983CB9"/>
    <w:rsid w:val="26B3B7AC"/>
    <w:rsid w:val="26FE1348"/>
    <w:rsid w:val="27F610C7"/>
    <w:rsid w:val="28FFDE1F"/>
    <w:rsid w:val="29EF532D"/>
    <w:rsid w:val="2A609729"/>
    <w:rsid w:val="2AEF8CC1"/>
    <w:rsid w:val="2BBA7EA1"/>
    <w:rsid w:val="2BE7D78D"/>
    <w:rsid w:val="2BEFF665"/>
    <w:rsid w:val="2D57E7EC"/>
    <w:rsid w:val="2D77F31C"/>
    <w:rsid w:val="2DE5C26C"/>
    <w:rsid w:val="2E5D3DDA"/>
    <w:rsid w:val="2EFED2B7"/>
    <w:rsid w:val="2F4B3BEC"/>
    <w:rsid w:val="2F6D22FC"/>
    <w:rsid w:val="2F6DEE34"/>
    <w:rsid w:val="2F7FBD1F"/>
    <w:rsid w:val="2F7FE36B"/>
    <w:rsid w:val="2FC72278"/>
    <w:rsid w:val="2FDCD55A"/>
    <w:rsid w:val="2FEDF018"/>
    <w:rsid w:val="2FEE3DF7"/>
    <w:rsid w:val="2FF75DEF"/>
    <w:rsid w:val="2FFBE70E"/>
    <w:rsid w:val="2FFDAC80"/>
    <w:rsid w:val="2FFF416F"/>
    <w:rsid w:val="31F66B50"/>
    <w:rsid w:val="337F3228"/>
    <w:rsid w:val="3399A366"/>
    <w:rsid w:val="33BF1F8B"/>
    <w:rsid w:val="33D307E4"/>
    <w:rsid w:val="33DE0EB1"/>
    <w:rsid w:val="33FA6F1F"/>
    <w:rsid w:val="33FD3C2F"/>
    <w:rsid w:val="33FF439B"/>
    <w:rsid w:val="34363F54"/>
    <w:rsid w:val="349AED56"/>
    <w:rsid w:val="34B396B8"/>
    <w:rsid w:val="34E3151E"/>
    <w:rsid w:val="35BF1376"/>
    <w:rsid w:val="35BF457C"/>
    <w:rsid w:val="35FB7D70"/>
    <w:rsid w:val="35FF63F4"/>
    <w:rsid w:val="35FFE4F6"/>
    <w:rsid w:val="36FA7F90"/>
    <w:rsid w:val="36FB6616"/>
    <w:rsid w:val="37476C4E"/>
    <w:rsid w:val="374FC212"/>
    <w:rsid w:val="3759E5C4"/>
    <w:rsid w:val="378F76EF"/>
    <w:rsid w:val="3796F4EF"/>
    <w:rsid w:val="379DC777"/>
    <w:rsid w:val="37BFDCE7"/>
    <w:rsid w:val="37BFF525"/>
    <w:rsid w:val="37D78639"/>
    <w:rsid w:val="37EAD5EF"/>
    <w:rsid w:val="37EE4C35"/>
    <w:rsid w:val="37F2C661"/>
    <w:rsid w:val="37F2FBD5"/>
    <w:rsid w:val="37F958CE"/>
    <w:rsid w:val="37FD6647"/>
    <w:rsid w:val="37FD8A54"/>
    <w:rsid w:val="37FE2ED5"/>
    <w:rsid w:val="37FF32BE"/>
    <w:rsid w:val="39757CD4"/>
    <w:rsid w:val="39B9A6E3"/>
    <w:rsid w:val="39DF2579"/>
    <w:rsid w:val="39FBC531"/>
    <w:rsid w:val="39FDD054"/>
    <w:rsid w:val="3A7F18E8"/>
    <w:rsid w:val="3AB99A42"/>
    <w:rsid w:val="3B7B517E"/>
    <w:rsid w:val="3B7CAA60"/>
    <w:rsid w:val="3B7E6C41"/>
    <w:rsid w:val="3B7F22E4"/>
    <w:rsid w:val="3B9DC258"/>
    <w:rsid w:val="3BDBEE33"/>
    <w:rsid w:val="3BEFD738"/>
    <w:rsid w:val="3BF2F69F"/>
    <w:rsid w:val="3BF60982"/>
    <w:rsid w:val="3BF77238"/>
    <w:rsid w:val="3BFDE461"/>
    <w:rsid w:val="3BFF0C4F"/>
    <w:rsid w:val="3BFF99C1"/>
    <w:rsid w:val="3C2E6D1E"/>
    <w:rsid w:val="3C63CB01"/>
    <w:rsid w:val="3C9F112A"/>
    <w:rsid w:val="3CF0F7AA"/>
    <w:rsid w:val="3D4C5D67"/>
    <w:rsid w:val="3D4FFB00"/>
    <w:rsid w:val="3D5EBBE2"/>
    <w:rsid w:val="3D79EBEB"/>
    <w:rsid w:val="3D7BE1B9"/>
    <w:rsid w:val="3D7D53FE"/>
    <w:rsid w:val="3D7F08DA"/>
    <w:rsid w:val="3D8FB0E9"/>
    <w:rsid w:val="3DB3877A"/>
    <w:rsid w:val="3DBA41E0"/>
    <w:rsid w:val="3DBBF584"/>
    <w:rsid w:val="3DBFC90B"/>
    <w:rsid w:val="3DDD5C16"/>
    <w:rsid w:val="3DF6FF02"/>
    <w:rsid w:val="3DF703DF"/>
    <w:rsid w:val="3DFE28AA"/>
    <w:rsid w:val="3DFECFE4"/>
    <w:rsid w:val="3DFF0009"/>
    <w:rsid w:val="3DFF5AE3"/>
    <w:rsid w:val="3DFFBFD8"/>
    <w:rsid w:val="3DFFDBE4"/>
    <w:rsid w:val="3E37C3B7"/>
    <w:rsid w:val="3E7EC703"/>
    <w:rsid w:val="3EB5B2FB"/>
    <w:rsid w:val="3EBF9E0F"/>
    <w:rsid w:val="3EE3E7CD"/>
    <w:rsid w:val="3EEFFCD6"/>
    <w:rsid w:val="3EF3573A"/>
    <w:rsid w:val="3EFB2850"/>
    <w:rsid w:val="3EFB76F1"/>
    <w:rsid w:val="3EFBE911"/>
    <w:rsid w:val="3EFFB3DD"/>
    <w:rsid w:val="3EFFDD81"/>
    <w:rsid w:val="3F27B3A1"/>
    <w:rsid w:val="3F3DB2DC"/>
    <w:rsid w:val="3F3F7BE3"/>
    <w:rsid w:val="3F5E7B73"/>
    <w:rsid w:val="3F7140A5"/>
    <w:rsid w:val="3F74928F"/>
    <w:rsid w:val="3F7E2E35"/>
    <w:rsid w:val="3F7E8743"/>
    <w:rsid w:val="3F7FE05B"/>
    <w:rsid w:val="3F9577C0"/>
    <w:rsid w:val="3F9C20EA"/>
    <w:rsid w:val="3F9C53E0"/>
    <w:rsid w:val="3FAB0CBF"/>
    <w:rsid w:val="3FAEA517"/>
    <w:rsid w:val="3FBD90CD"/>
    <w:rsid w:val="3FBE5D23"/>
    <w:rsid w:val="3FBF0EBD"/>
    <w:rsid w:val="3FD35657"/>
    <w:rsid w:val="3FD73494"/>
    <w:rsid w:val="3FDCA861"/>
    <w:rsid w:val="3FDE29C7"/>
    <w:rsid w:val="3FDE744D"/>
    <w:rsid w:val="3FDFCEB4"/>
    <w:rsid w:val="3FDFEBB1"/>
    <w:rsid w:val="3FE368BB"/>
    <w:rsid w:val="3FEB9CF2"/>
    <w:rsid w:val="3FEC4BE9"/>
    <w:rsid w:val="3FEE459A"/>
    <w:rsid w:val="3FEFB582"/>
    <w:rsid w:val="3FF35094"/>
    <w:rsid w:val="3FF6FEE8"/>
    <w:rsid w:val="3FF78249"/>
    <w:rsid w:val="3FFA9E69"/>
    <w:rsid w:val="3FFCA4F7"/>
    <w:rsid w:val="3FFDB24C"/>
    <w:rsid w:val="3FFF1819"/>
    <w:rsid w:val="3FFF2733"/>
    <w:rsid w:val="3FFF2B27"/>
    <w:rsid w:val="3FFF2B82"/>
    <w:rsid w:val="3FFF89EF"/>
    <w:rsid w:val="3FFFD3D5"/>
    <w:rsid w:val="41D7206C"/>
    <w:rsid w:val="43EFD09E"/>
    <w:rsid w:val="43F6EC3E"/>
    <w:rsid w:val="45F568D8"/>
    <w:rsid w:val="45FE24ED"/>
    <w:rsid w:val="45FFE69C"/>
    <w:rsid w:val="46B6F693"/>
    <w:rsid w:val="46FEF49B"/>
    <w:rsid w:val="47574751"/>
    <w:rsid w:val="476BE6B9"/>
    <w:rsid w:val="478C7645"/>
    <w:rsid w:val="47FE2E13"/>
    <w:rsid w:val="49DF68DB"/>
    <w:rsid w:val="4A1947CF"/>
    <w:rsid w:val="4AFCD037"/>
    <w:rsid w:val="4B6A6641"/>
    <w:rsid w:val="4BBF2A8E"/>
    <w:rsid w:val="4BBFE986"/>
    <w:rsid w:val="4BEFDB70"/>
    <w:rsid w:val="4BF6EDF1"/>
    <w:rsid w:val="4BFD39A1"/>
    <w:rsid w:val="4BFF4813"/>
    <w:rsid w:val="4D6100B5"/>
    <w:rsid w:val="4D9B02BE"/>
    <w:rsid w:val="4DADC092"/>
    <w:rsid w:val="4DDD815B"/>
    <w:rsid w:val="4DF398BC"/>
    <w:rsid w:val="4E5BD32F"/>
    <w:rsid w:val="4E6B0A11"/>
    <w:rsid w:val="4EBFAE95"/>
    <w:rsid w:val="4EDF368A"/>
    <w:rsid w:val="4EEB2A73"/>
    <w:rsid w:val="4EF7C3EC"/>
    <w:rsid w:val="4F1762E1"/>
    <w:rsid w:val="4F7BC56C"/>
    <w:rsid w:val="4FB14FEE"/>
    <w:rsid w:val="4FBC4C8E"/>
    <w:rsid w:val="4FBD7313"/>
    <w:rsid w:val="4FBDB47C"/>
    <w:rsid w:val="4FD4D600"/>
    <w:rsid w:val="4FFE3711"/>
    <w:rsid w:val="4FFFAE18"/>
    <w:rsid w:val="50DE6C61"/>
    <w:rsid w:val="51EF4200"/>
    <w:rsid w:val="51FED7AB"/>
    <w:rsid w:val="51FF4C04"/>
    <w:rsid w:val="52DF96BD"/>
    <w:rsid w:val="536F7936"/>
    <w:rsid w:val="537E6B38"/>
    <w:rsid w:val="53F65269"/>
    <w:rsid w:val="53FF0D8F"/>
    <w:rsid w:val="55A90BF2"/>
    <w:rsid w:val="55B30287"/>
    <w:rsid w:val="55CB79E6"/>
    <w:rsid w:val="55EDECB5"/>
    <w:rsid w:val="55F76F08"/>
    <w:rsid w:val="56A40CF3"/>
    <w:rsid w:val="56F1FAD3"/>
    <w:rsid w:val="56FEE545"/>
    <w:rsid w:val="56FFB9A0"/>
    <w:rsid w:val="573E78D8"/>
    <w:rsid w:val="5757A83E"/>
    <w:rsid w:val="57968065"/>
    <w:rsid w:val="579B1860"/>
    <w:rsid w:val="57BAD6B8"/>
    <w:rsid w:val="57EDFCFC"/>
    <w:rsid w:val="57F17E23"/>
    <w:rsid w:val="57F76176"/>
    <w:rsid w:val="57F776D3"/>
    <w:rsid w:val="57FA5924"/>
    <w:rsid w:val="57FBB025"/>
    <w:rsid w:val="57FCA3D1"/>
    <w:rsid w:val="57FF36DB"/>
    <w:rsid w:val="589D860E"/>
    <w:rsid w:val="593FC63B"/>
    <w:rsid w:val="59BD0558"/>
    <w:rsid w:val="59EEE1A7"/>
    <w:rsid w:val="5A4F637D"/>
    <w:rsid w:val="5AD64598"/>
    <w:rsid w:val="5AEE38CC"/>
    <w:rsid w:val="5AFFDF3D"/>
    <w:rsid w:val="5B2DE4A7"/>
    <w:rsid w:val="5B7540D6"/>
    <w:rsid w:val="5BBA38DE"/>
    <w:rsid w:val="5BCF643D"/>
    <w:rsid w:val="5BD462C2"/>
    <w:rsid w:val="5BDCF0DF"/>
    <w:rsid w:val="5BE548CD"/>
    <w:rsid w:val="5BF71824"/>
    <w:rsid w:val="5BF7AAAC"/>
    <w:rsid w:val="5BFA3197"/>
    <w:rsid w:val="5BFB9144"/>
    <w:rsid w:val="5BFE241E"/>
    <w:rsid w:val="5BFE3510"/>
    <w:rsid w:val="5BFE66FA"/>
    <w:rsid w:val="5BFF3149"/>
    <w:rsid w:val="5BFF53FD"/>
    <w:rsid w:val="5BFFD34F"/>
    <w:rsid w:val="5BFFF1CE"/>
    <w:rsid w:val="5CDB96C0"/>
    <w:rsid w:val="5CEAB500"/>
    <w:rsid w:val="5CFB6F71"/>
    <w:rsid w:val="5CFDA01E"/>
    <w:rsid w:val="5CFF2D72"/>
    <w:rsid w:val="5D3D406C"/>
    <w:rsid w:val="5D6A9786"/>
    <w:rsid w:val="5D7EA438"/>
    <w:rsid w:val="5D7F396E"/>
    <w:rsid w:val="5D9F6740"/>
    <w:rsid w:val="5DE72FC9"/>
    <w:rsid w:val="5DFBE59E"/>
    <w:rsid w:val="5DFF5AC1"/>
    <w:rsid w:val="5EBB7228"/>
    <w:rsid w:val="5EBD3709"/>
    <w:rsid w:val="5ECF4204"/>
    <w:rsid w:val="5EDE00E0"/>
    <w:rsid w:val="5EEE7572"/>
    <w:rsid w:val="5EFA7CCD"/>
    <w:rsid w:val="5EFB7998"/>
    <w:rsid w:val="5EFD4D12"/>
    <w:rsid w:val="5EFEF4BF"/>
    <w:rsid w:val="5EFFCF65"/>
    <w:rsid w:val="5EFFDE40"/>
    <w:rsid w:val="5F07FD39"/>
    <w:rsid w:val="5F37AEB7"/>
    <w:rsid w:val="5F3937EC"/>
    <w:rsid w:val="5F3F81C1"/>
    <w:rsid w:val="5F52B23D"/>
    <w:rsid w:val="5F5B11F2"/>
    <w:rsid w:val="5F6F74C7"/>
    <w:rsid w:val="5F7BADDF"/>
    <w:rsid w:val="5F7BB217"/>
    <w:rsid w:val="5FA5DA59"/>
    <w:rsid w:val="5FB328B9"/>
    <w:rsid w:val="5FBC0662"/>
    <w:rsid w:val="5FBE5B7E"/>
    <w:rsid w:val="5FBF2D09"/>
    <w:rsid w:val="5FCF1803"/>
    <w:rsid w:val="5FCF78D6"/>
    <w:rsid w:val="5FCF9D61"/>
    <w:rsid w:val="5FD07C9D"/>
    <w:rsid w:val="5FDF429A"/>
    <w:rsid w:val="5FDF9EA8"/>
    <w:rsid w:val="5FDFB9B9"/>
    <w:rsid w:val="5FE31A24"/>
    <w:rsid w:val="5FE7E848"/>
    <w:rsid w:val="5FED8DF5"/>
    <w:rsid w:val="5FEF6063"/>
    <w:rsid w:val="5FEF97B9"/>
    <w:rsid w:val="5FEFD75C"/>
    <w:rsid w:val="5FF31B13"/>
    <w:rsid w:val="5FF3CE7B"/>
    <w:rsid w:val="5FFA663A"/>
    <w:rsid w:val="5FFB074D"/>
    <w:rsid w:val="5FFDA6D6"/>
    <w:rsid w:val="5FFDBF40"/>
    <w:rsid w:val="5FFDF4A2"/>
    <w:rsid w:val="5FFDF99F"/>
    <w:rsid w:val="5FFDFDB0"/>
    <w:rsid w:val="5FFE484E"/>
    <w:rsid w:val="5FFE5B36"/>
    <w:rsid w:val="5FFF5C5C"/>
    <w:rsid w:val="5FFF6597"/>
    <w:rsid w:val="5FFF91FF"/>
    <w:rsid w:val="5FFFA7D7"/>
    <w:rsid w:val="5FFFE285"/>
    <w:rsid w:val="612AF191"/>
    <w:rsid w:val="61BDF025"/>
    <w:rsid w:val="61E7EF69"/>
    <w:rsid w:val="61FE6DD8"/>
    <w:rsid w:val="635C0EE3"/>
    <w:rsid w:val="637F14FB"/>
    <w:rsid w:val="63A7C26D"/>
    <w:rsid w:val="63AE0931"/>
    <w:rsid w:val="63B583F2"/>
    <w:rsid w:val="63BFD95A"/>
    <w:rsid w:val="63DF59A9"/>
    <w:rsid w:val="63EAC6D2"/>
    <w:rsid w:val="63F3CD82"/>
    <w:rsid w:val="63FDEA45"/>
    <w:rsid w:val="6409586F"/>
    <w:rsid w:val="64FB9F3E"/>
    <w:rsid w:val="64FDF94D"/>
    <w:rsid w:val="64FE0E3F"/>
    <w:rsid w:val="64FF0119"/>
    <w:rsid w:val="65774EBE"/>
    <w:rsid w:val="65C9BD74"/>
    <w:rsid w:val="65E8F4E0"/>
    <w:rsid w:val="660DE610"/>
    <w:rsid w:val="66D7C1C4"/>
    <w:rsid w:val="66FE8FCA"/>
    <w:rsid w:val="66FEE9BE"/>
    <w:rsid w:val="670FA23C"/>
    <w:rsid w:val="67734483"/>
    <w:rsid w:val="67737552"/>
    <w:rsid w:val="677FC794"/>
    <w:rsid w:val="67ABF2BD"/>
    <w:rsid w:val="67AF8102"/>
    <w:rsid w:val="67BE1164"/>
    <w:rsid w:val="67BE8288"/>
    <w:rsid w:val="67CB9D02"/>
    <w:rsid w:val="67CDE869"/>
    <w:rsid w:val="67DDD2CC"/>
    <w:rsid w:val="67EF7D26"/>
    <w:rsid w:val="67F32D33"/>
    <w:rsid w:val="67F768E1"/>
    <w:rsid w:val="67FE284B"/>
    <w:rsid w:val="69BBECCA"/>
    <w:rsid w:val="69F9AE25"/>
    <w:rsid w:val="6A46649A"/>
    <w:rsid w:val="6A56FE6D"/>
    <w:rsid w:val="6A971C22"/>
    <w:rsid w:val="6AA797B8"/>
    <w:rsid w:val="6B25FE0E"/>
    <w:rsid w:val="6B3EFDC5"/>
    <w:rsid w:val="6B5F2825"/>
    <w:rsid w:val="6B6DCF71"/>
    <w:rsid w:val="6B74DD58"/>
    <w:rsid w:val="6B7B8B53"/>
    <w:rsid w:val="6BAF9754"/>
    <w:rsid w:val="6BBDD4A2"/>
    <w:rsid w:val="6BCCFE1A"/>
    <w:rsid w:val="6BD72100"/>
    <w:rsid w:val="6BDD591A"/>
    <w:rsid w:val="6BDFAB7D"/>
    <w:rsid w:val="6BED82A2"/>
    <w:rsid w:val="6BFB299A"/>
    <w:rsid w:val="6BFD80D8"/>
    <w:rsid w:val="6BFF00AD"/>
    <w:rsid w:val="6CDBD121"/>
    <w:rsid w:val="6CDD7C90"/>
    <w:rsid w:val="6CFF1F34"/>
    <w:rsid w:val="6CFF3C76"/>
    <w:rsid w:val="6CFFA579"/>
    <w:rsid w:val="6D27DDF4"/>
    <w:rsid w:val="6D3F3086"/>
    <w:rsid w:val="6D552CF6"/>
    <w:rsid w:val="6D5F14FD"/>
    <w:rsid w:val="6D77D591"/>
    <w:rsid w:val="6D783502"/>
    <w:rsid w:val="6DB5EC70"/>
    <w:rsid w:val="6DBFFEE6"/>
    <w:rsid w:val="6DE7DB4A"/>
    <w:rsid w:val="6DEE17C8"/>
    <w:rsid w:val="6DEE235B"/>
    <w:rsid w:val="6DEF71CE"/>
    <w:rsid w:val="6DF5C76E"/>
    <w:rsid w:val="6DF5EF86"/>
    <w:rsid w:val="6DFE8E97"/>
    <w:rsid w:val="6DFF2AB5"/>
    <w:rsid w:val="6DFFD909"/>
    <w:rsid w:val="6DFFEF06"/>
    <w:rsid w:val="6E382503"/>
    <w:rsid w:val="6E4E20DA"/>
    <w:rsid w:val="6EABD226"/>
    <w:rsid w:val="6EB762F7"/>
    <w:rsid w:val="6EBBFBB7"/>
    <w:rsid w:val="6ED68AB2"/>
    <w:rsid w:val="6EED115B"/>
    <w:rsid w:val="6EEDBF5E"/>
    <w:rsid w:val="6EEFC10C"/>
    <w:rsid w:val="6EF2CB6D"/>
    <w:rsid w:val="6EF6CDEC"/>
    <w:rsid w:val="6EFC0F30"/>
    <w:rsid w:val="6EFF6091"/>
    <w:rsid w:val="6EFFA40C"/>
    <w:rsid w:val="6F0DE45B"/>
    <w:rsid w:val="6F1F606E"/>
    <w:rsid w:val="6F3E5161"/>
    <w:rsid w:val="6F4E2A99"/>
    <w:rsid w:val="6F6F21B8"/>
    <w:rsid w:val="6F7B70B1"/>
    <w:rsid w:val="6F7B95FE"/>
    <w:rsid w:val="6F7F0A9E"/>
    <w:rsid w:val="6F7FE86F"/>
    <w:rsid w:val="6F7FE9FC"/>
    <w:rsid w:val="6F84EEBA"/>
    <w:rsid w:val="6F973B16"/>
    <w:rsid w:val="6FB4D2E3"/>
    <w:rsid w:val="6FBB27F8"/>
    <w:rsid w:val="6FBBACF3"/>
    <w:rsid w:val="6FBFFE00"/>
    <w:rsid w:val="6FCE1315"/>
    <w:rsid w:val="6FD73E32"/>
    <w:rsid w:val="6FDB700B"/>
    <w:rsid w:val="6FDB85C9"/>
    <w:rsid w:val="6FDBF08F"/>
    <w:rsid w:val="6FDD6261"/>
    <w:rsid w:val="6FDEAEF6"/>
    <w:rsid w:val="6FDFC496"/>
    <w:rsid w:val="6FE3DC45"/>
    <w:rsid w:val="6FE75E83"/>
    <w:rsid w:val="6FEAB638"/>
    <w:rsid w:val="6FEB3A92"/>
    <w:rsid w:val="6FF5769C"/>
    <w:rsid w:val="6FF6D16A"/>
    <w:rsid w:val="6FF73D02"/>
    <w:rsid w:val="6FF75A34"/>
    <w:rsid w:val="6FF7D723"/>
    <w:rsid w:val="6FFAFA32"/>
    <w:rsid w:val="6FFB1F2A"/>
    <w:rsid w:val="6FFB39DA"/>
    <w:rsid w:val="6FFC1590"/>
    <w:rsid w:val="6FFC8A8D"/>
    <w:rsid w:val="6FFC9E83"/>
    <w:rsid w:val="6FFE2304"/>
    <w:rsid w:val="6FFE6A3F"/>
    <w:rsid w:val="6FFE8AF6"/>
    <w:rsid w:val="6FFEFA50"/>
    <w:rsid w:val="6FFF438D"/>
    <w:rsid w:val="7057B9C4"/>
    <w:rsid w:val="707BFE74"/>
    <w:rsid w:val="707D1958"/>
    <w:rsid w:val="70D7E0D8"/>
    <w:rsid w:val="70E73127"/>
    <w:rsid w:val="71B5562A"/>
    <w:rsid w:val="71BB03EE"/>
    <w:rsid w:val="71BE309E"/>
    <w:rsid w:val="71BF50D9"/>
    <w:rsid w:val="71DD733A"/>
    <w:rsid w:val="71F71D2C"/>
    <w:rsid w:val="71F78F65"/>
    <w:rsid w:val="71F9F243"/>
    <w:rsid w:val="71FF8AA3"/>
    <w:rsid w:val="721D411C"/>
    <w:rsid w:val="723E5F4B"/>
    <w:rsid w:val="729F9786"/>
    <w:rsid w:val="72EE4E2A"/>
    <w:rsid w:val="72FEDE5E"/>
    <w:rsid w:val="72FEF6EC"/>
    <w:rsid w:val="735F0728"/>
    <w:rsid w:val="73774AD8"/>
    <w:rsid w:val="73A70589"/>
    <w:rsid w:val="73BF2445"/>
    <w:rsid w:val="73BF6B48"/>
    <w:rsid w:val="73D7B105"/>
    <w:rsid w:val="73EB63E9"/>
    <w:rsid w:val="73EE3896"/>
    <w:rsid w:val="73F7BCD4"/>
    <w:rsid w:val="73FD64D0"/>
    <w:rsid w:val="73FF2824"/>
    <w:rsid w:val="745FE5D3"/>
    <w:rsid w:val="74BF8F70"/>
    <w:rsid w:val="74BFCEE5"/>
    <w:rsid w:val="74C93698"/>
    <w:rsid w:val="74C9EF4D"/>
    <w:rsid w:val="74F49EB4"/>
    <w:rsid w:val="74FBBB43"/>
    <w:rsid w:val="74FE7E76"/>
    <w:rsid w:val="750781CD"/>
    <w:rsid w:val="750FCEE9"/>
    <w:rsid w:val="75153A93"/>
    <w:rsid w:val="753BC866"/>
    <w:rsid w:val="755F4893"/>
    <w:rsid w:val="757BD019"/>
    <w:rsid w:val="757D5A2D"/>
    <w:rsid w:val="757DE146"/>
    <w:rsid w:val="757F348D"/>
    <w:rsid w:val="757F886B"/>
    <w:rsid w:val="75BE749C"/>
    <w:rsid w:val="75DD3814"/>
    <w:rsid w:val="75E89F9E"/>
    <w:rsid w:val="75E9C904"/>
    <w:rsid w:val="75ED5D32"/>
    <w:rsid w:val="75EED34B"/>
    <w:rsid w:val="75F71329"/>
    <w:rsid w:val="75FE5161"/>
    <w:rsid w:val="75FF5F49"/>
    <w:rsid w:val="75FF69ED"/>
    <w:rsid w:val="7635C4F9"/>
    <w:rsid w:val="76390FF3"/>
    <w:rsid w:val="763B568B"/>
    <w:rsid w:val="767F6AC5"/>
    <w:rsid w:val="769BE821"/>
    <w:rsid w:val="76AF0EC8"/>
    <w:rsid w:val="76BECBF1"/>
    <w:rsid w:val="76BF09F3"/>
    <w:rsid w:val="76BF7B7B"/>
    <w:rsid w:val="76D29599"/>
    <w:rsid w:val="76D798EC"/>
    <w:rsid w:val="76DF3BC8"/>
    <w:rsid w:val="76ED3ACF"/>
    <w:rsid w:val="76F73D68"/>
    <w:rsid w:val="76F74141"/>
    <w:rsid w:val="76FB29BA"/>
    <w:rsid w:val="76FF3E59"/>
    <w:rsid w:val="77216619"/>
    <w:rsid w:val="772D2B8C"/>
    <w:rsid w:val="773F9CB1"/>
    <w:rsid w:val="7757AB12"/>
    <w:rsid w:val="775F7B61"/>
    <w:rsid w:val="775FA5F5"/>
    <w:rsid w:val="776D2E5F"/>
    <w:rsid w:val="7777D22A"/>
    <w:rsid w:val="777F517F"/>
    <w:rsid w:val="777FAC77"/>
    <w:rsid w:val="777FBDB4"/>
    <w:rsid w:val="77896C6A"/>
    <w:rsid w:val="77AD47BB"/>
    <w:rsid w:val="77AF0B69"/>
    <w:rsid w:val="77AF4076"/>
    <w:rsid w:val="77B52783"/>
    <w:rsid w:val="77BDCDF5"/>
    <w:rsid w:val="77CDB37E"/>
    <w:rsid w:val="77DA8D01"/>
    <w:rsid w:val="77DB47B2"/>
    <w:rsid w:val="77DBACD9"/>
    <w:rsid w:val="77DDB0D6"/>
    <w:rsid w:val="77DDF873"/>
    <w:rsid w:val="77DF4410"/>
    <w:rsid w:val="77DFA629"/>
    <w:rsid w:val="77E7D4C4"/>
    <w:rsid w:val="77EB2460"/>
    <w:rsid w:val="77EBC80D"/>
    <w:rsid w:val="77ECED3C"/>
    <w:rsid w:val="77ED05D3"/>
    <w:rsid w:val="77ED0F49"/>
    <w:rsid w:val="77EF12E3"/>
    <w:rsid w:val="77EFD42D"/>
    <w:rsid w:val="77F355AB"/>
    <w:rsid w:val="77F3A231"/>
    <w:rsid w:val="77F6E554"/>
    <w:rsid w:val="77F74095"/>
    <w:rsid w:val="77F9804A"/>
    <w:rsid w:val="77FAFC15"/>
    <w:rsid w:val="77FB440B"/>
    <w:rsid w:val="77FD5EE6"/>
    <w:rsid w:val="77FD5F7A"/>
    <w:rsid w:val="77FD97C0"/>
    <w:rsid w:val="77FDC898"/>
    <w:rsid w:val="77FE69A4"/>
    <w:rsid w:val="77FEAB8E"/>
    <w:rsid w:val="77FF4AA3"/>
    <w:rsid w:val="77FF7226"/>
    <w:rsid w:val="77FFF4C9"/>
    <w:rsid w:val="781F83E8"/>
    <w:rsid w:val="787F9AB5"/>
    <w:rsid w:val="78D83198"/>
    <w:rsid w:val="78DFE09E"/>
    <w:rsid w:val="78EACF4C"/>
    <w:rsid w:val="78FE481A"/>
    <w:rsid w:val="78FF6771"/>
    <w:rsid w:val="7939043D"/>
    <w:rsid w:val="793EB7A4"/>
    <w:rsid w:val="7975E8EE"/>
    <w:rsid w:val="797F5F06"/>
    <w:rsid w:val="79B9DA15"/>
    <w:rsid w:val="79D34699"/>
    <w:rsid w:val="79DFCD1A"/>
    <w:rsid w:val="79ED920A"/>
    <w:rsid w:val="79FD82CB"/>
    <w:rsid w:val="79FEC503"/>
    <w:rsid w:val="79FF3DF9"/>
    <w:rsid w:val="79FFA5FB"/>
    <w:rsid w:val="79FFCBD3"/>
    <w:rsid w:val="7A38DF40"/>
    <w:rsid w:val="7A394699"/>
    <w:rsid w:val="7A3F88A6"/>
    <w:rsid w:val="7A450EED"/>
    <w:rsid w:val="7A54F60E"/>
    <w:rsid w:val="7A55AC2D"/>
    <w:rsid w:val="7A577E98"/>
    <w:rsid w:val="7A5F4F7A"/>
    <w:rsid w:val="7A6B7FDE"/>
    <w:rsid w:val="7A7E0BBD"/>
    <w:rsid w:val="7A7F674E"/>
    <w:rsid w:val="7AB7A958"/>
    <w:rsid w:val="7ABDD3E8"/>
    <w:rsid w:val="7ABE2073"/>
    <w:rsid w:val="7AD9099B"/>
    <w:rsid w:val="7ADDBC43"/>
    <w:rsid w:val="7ADF05E1"/>
    <w:rsid w:val="7ADF1392"/>
    <w:rsid w:val="7ADF6E45"/>
    <w:rsid w:val="7AED0581"/>
    <w:rsid w:val="7AF7ED19"/>
    <w:rsid w:val="7AFB92D8"/>
    <w:rsid w:val="7AFF7029"/>
    <w:rsid w:val="7AFF9E8D"/>
    <w:rsid w:val="7AFFC783"/>
    <w:rsid w:val="7B1F6C80"/>
    <w:rsid w:val="7B1FE446"/>
    <w:rsid w:val="7B4D11CB"/>
    <w:rsid w:val="7B7A74D6"/>
    <w:rsid w:val="7B7B056F"/>
    <w:rsid w:val="7B7B8CB9"/>
    <w:rsid w:val="7B7C4BCB"/>
    <w:rsid w:val="7B7E1DF1"/>
    <w:rsid w:val="7B7E6174"/>
    <w:rsid w:val="7B7EB9AF"/>
    <w:rsid w:val="7B7F0C01"/>
    <w:rsid w:val="7B7F4057"/>
    <w:rsid w:val="7B7F714C"/>
    <w:rsid w:val="7B7F79F6"/>
    <w:rsid w:val="7B7FE3B9"/>
    <w:rsid w:val="7B9B743C"/>
    <w:rsid w:val="7B9FB777"/>
    <w:rsid w:val="7BA311C3"/>
    <w:rsid w:val="7BAF607B"/>
    <w:rsid w:val="7BAFF937"/>
    <w:rsid w:val="7BB1816D"/>
    <w:rsid w:val="7BB309D9"/>
    <w:rsid w:val="7BB3BC22"/>
    <w:rsid w:val="7BB70439"/>
    <w:rsid w:val="7BB78729"/>
    <w:rsid w:val="7BBD0463"/>
    <w:rsid w:val="7BBD1210"/>
    <w:rsid w:val="7BBEF874"/>
    <w:rsid w:val="7BBFD7F8"/>
    <w:rsid w:val="7BBFEC25"/>
    <w:rsid w:val="7BD74369"/>
    <w:rsid w:val="7BDED491"/>
    <w:rsid w:val="7BDF671F"/>
    <w:rsid w:val="7BE5874E"/>
    <w:rsid w:val="7BEB699E"/>
    <w:rsid w:val="7BEF7C7A"/>
    <w:rsid w:val="7BEF84E2"/>
    <w:rsid w:val="7BF695A8"/>
    <w:rsid w:val="7BF760AC"/>
    <w:rsid w:val="7BF7EEE4"/>
    <w:rsid w:val="7BFE984F"/>
    <w:rsid w:val="7BFF4477"/>
    <w:rsid w:val="7BFF9470"/>
    <w:rsid w:val="7BFFDFB2"/>
    <w:rsid w:val="7C73A9C6"/>
    <w:rsid w:val="7C7B1314"/>
    <w:rsid w:val="7C7B704E"/>
    <w:rsid w:val="7CA3E458"/>
    <w:rsid w:val="7CB5B2AE"/>
    <w:rsid w:val="7CB6E134"/>
    <w:rsid w:val="7CDD2302"/>
    <w:rsid w:val="7CDDCDCA"/>
    <w:rsid w:val="7CE4DD6B"/>
    <w:rsid w:val="7CE7D04A"/>
    <w:rsid w:val="7CEC2D9B"/>
    <w:rsid w:val="7CEC58D0"/>
    <w:rsid w:val="7CF3A345"/>
    <w:rsid w:val="7CF43EF3"/>
    <w:rsid w:val="7CFDA957"/>
    <w:rsid w:val="7CFEA5D1"/>
    <w:rsid w:val="7CFFC0F1"/>
    <w:rsid w:val="7CFFD15B"/>
    <w:rsid w:val="7D4FBD75"/>
    <w:rsid w:val="7D6232BB"/>
    <w:rsid w:val="7D6B8774"/>
    <w:rsid w:val="7D77530C"/>
    <w:rsid w:val="7D7BC9D3"/>
    <w:rsid w:val="7D7BE421"/>
    <w:rsid w:val="7D7EFE8C"/>
    <w:rsid w:val="7D8BDDC4"/>
    <w:rsid w:val="7D99C094"/>
    <w:rsid w:val="7D9F3C89"/>
    <w:rsid w:val="7DAD5106"/>
    <w:rsid w:val="7DB6A61F"/>
    <w:rsid w:val="7DB8542D"/>
    <w:rsid w:val="7DBB826E"/>
    <w:rsid w:val="7DBF1A34"/>
    <w:rsid w:val="7DBF89E4"/>
    <w:rsid w:val="7DBF9BD5"/>
    <w:rsid w:val="7DBFEA36"/>
    <w:rsid w:val="7DCD1410"/>
    <w:rsid w:val="7DDA7F59"/>
    <w:rsid w:val="7DDE6E47"/>
    <w:rsid w:val="7DDF1A13"/>
    <w:rsid w:val="7DDF9892"/>
    <w:rsid w:val="7DEF3824"/>
    <w:rsid w:val="7DF14677"/>
    <w:rsid w:val="7DF77713"/>
    <w:rsid w:val="7DF77CF4"/>
    <w:rsid w:val="7DF967D3"/>
    <w:rsid w:val="7DFBE7AC"/>
    <w:rsid w:val="7DFD6190"/>
    <w:rsid w:val="7DFDDDC9"/>
    <w:rsid w:val="7DFE0B03"/>
    <w:rsid w:val="7DFE7EDA"/>
    <w:rsid w:val="7DFF1CD9"/>
    <w:rsid w:val="7DFF4F0D"/>
    <w:rsid w:val="7DFF7D30"/>
    <w:rsid w:val="7DFFA182"/>
    <w:rsid w:val="7DFFFA96"/>
    <w:rsid w:val="7E3A4FD6"/>
    <w:rsid w:val="7E3B8C27"/>
    <w:rsid w:val="7E3FB3C6"/>
    <w:rsid w:val="7E5A2870"/>
    <w:rsid w:val="7E5B61AB"/>
    <w:rsid w:val="7E5FECA7"/>
    <w:rsid w:val="7E6A4799"/>
    <w:rsid w:val="7E6F5638"/>
    <w:rsid w:val="7E7C6BE2"/>
    <w:rsid w:val="7E7DFBA8"/>
    <w:rsid w:val="7E7E8468"/>
    <w:rsid w:val="7E7F240D"/>
    <w:rsid w:val="7E7F7034"/>
    <w:rsid w:val="7E8F3E29"/>
    <w:rsid w:val="7E971BA5"/>
    <w:rsid w:val="7EA7C483"/>
    <w:rsid w:val="7EA88ECF"/>
    <w:rsid w:val="7EAFDF06"/>
    <w:rsid w:val="7EB6A4F0"/>
    <w:rsid w:val="7EB761AE"/>
    <w:rsid w:val="7EB783AF"/>
    <w:rsid w:val="7EBDC3E5"/>
    <w:rsid w:val="7EBE0280"/>
    <w:rsid w:val="7EBE2E36"/>
    <w:rsid w:val="7EBF141E"/>
    <w:rsid w:val="7ED2498B"/>
    <w:rsid w:val="7ED301C2"/>
    <w:rsid w:val="7EDBCD82"/>
    <w:rsid w:val="7EDDAFE0"/>
    <w:rsid w:val="7EDDC1CF"/>
    <w:rsid w:val="7EDF3D5F"/>
    <w:rsid w:val="7EDFBD95"/>
    <w:rsid w:val="7EE913D5"/>
    <w:rsid w:val="7EEB5C5D"/>
    <w:rsid w:val="7EED1591"/>
    <w:rsid w:val="7EED81B6"/>
    <w:rsid w:val="7EEFBD84"/>
    <w:rsid w:val="7EF275A9"/>
    <w:rsid w:val="7EF36B08"/>
    <w:rsid w:val="7EF46715"/>
    <w:rsid w:val="7EF93705"/>
    <w:rsid w:val="7EFABD23"/>
    <w:rsid w:val="7EFAF087"/>
    <w:rsid w:val="7EFB1238"/>
    <w:rsid w:val="7EFBB885"/>
    <w:rsid w:val="7EFCA032"/>
    <w:rsid w:val="7EFCB5B8"/>
    <w:rsid w:val="7EFCFD05"/>
    <w:rsid w:val="7EFD47B6"/>
    <w:rsid w:val="7EFDA8F5"/>
    <w:rsid w:val="7EFF1A43"/>
    <w:rsid w:val="7EFF3454"/>
    <w:rsid w:val="7EFF680E"/>
    <w:rsid w:val="7EFF8783"/>
    <w:rsid w:val="7EFFDD1F"/>
    <w:rsid w:val="7EFFE5BC"/>
    <w:rsid w:val="7EFFE5D2"/>
    <w:rsid w:val="7F07ECB2"/>
    <w:rsid w:val="7F0D50B3"/>
    <w:rsid w:val="7F137B15"/>
    <w:rsid w:val="7F1615E8"/>
    <w:rsid w:val="7F16462D"/>
    <w:rsid w:val="7F177AF9"/>
    <w:rsid w:val="7F2E2EA0"/>
    <w:rsid w:val="7F37703B"/>
    <w:rsid w:val="7F37F1C3"/>
    <w:rsid w:val="7F3A789D"/>
    <w:rsid w:val="7F3CDCF4"/>
    <w:rsid w:val="7F3F1690"/>
    <w:rsid w:val="7F3F693E"/>
    <w:rsid w:val="7F3F7DD3"/>
    <w:rsid w:val="7F47E073"/>
    <w:rsid w:val="7F53B43F"/>
    <w:rsid w:val="7F56B71C"/>
    <w:rsid w:val="7F5BABB3"/>
    <w:rsid w:val="7F5D4769"/>
    <w:rsid w:val="7F5D6413"/>
    <w:rsid w:val="7F5DDBA4"/>
    <w:rsid w:val="7F5E7FD0"/>
    <w:rsid w:val="7F5F159C"/>
    <w:rsid w:val="7F5F8F34"/>
    <w:rsid w:val="7F62A05A"/>
    <w:rsid w:val="7F636073"/>
    <w:rsid w:val="7F657657"/>
    <w:rsid w:val="7F658FCD"/>
    <w:rsid w:val="7F664E64"/>
    <w:rsid w:val="7F6BAEC0"/>
    <w:rsid w:val="7F772C92"/>
    <w:rsid w:val="7F774F8B"/>
    <w:rsid w:val="7F78E19C"/>
    <w:rsid w:val="7F793D46"/>
    <w:rsid w:val="7F7AC0C7"/>
    <w:rsid w:val="7F7B8177"/>
    <w:rsid w:val="7F7B9EE9"/>
    <w:rsid w:val="7F7C012C"/>
    <w:rsid w:val="7F7C8153"/>
    <w:rsid w:val="7F7C8C0D"/>
    <w:rsid w:val="7F7C9F66"/>
    <w:rsid w:val="7F7D579B"/>
    <w:rsid w:val="7F7D58EC"/>
    <w:rsid w:val="7F7ECE99"/>
    <w:rsid w:val="7F7F224A"/>
    <w:rsid w:val="7F7F7EB8"/>
    <w:rsid w:val="7F7F814A"/>
    <w:rsid w:val="7F7FC43E"/>
    <w:rsid w:val="7F7FE998"/>
    <w:rsid w:val="7F87222D"/>
    <w:rsid w:val="7F8EA4CC"/>
    <w:rsid w:val="7F8FE78F"/>
    <w:rsid w:val="7F936196"/>
    <w:rsid w:val="7F96AE6D"/>
    <w:rsid w:val="7F9BE0C6"/>
    <w:rsid w:val="7F9DBF02"/>
    <w:rsid w:val="7FA50EDC"/>
    <w:rsid w:val="7FA6002E"/>
    <w:rsid w:val="7FA9B471"/>
    <w:rsid w:val="7FAE77D3"/>
    <w:rsid w:val="7FAE92BA"/>
    <w:rsid w:val="7FB2693A"/>
    <w:rsid w:val="7FB5A409"/>
    <w:rsid w:val="7FBB338E"/>
    <w:rsid w:val="7FBBF6B8"/>
    <w:rsid w:val="7FBD7B0B"/>
    <w:rsid w:val="7FBD92B0"/>
    <w:rsid w:val="7FBDD95A"/>
    <w:rsid w:val="7FBDE6D1"/>
    <w:rsid w:val="7FBE06D4"/>
    <w:rsid w:val="7FBEC48B"/>
    <w:rsid w:val="7FBF374B"/>
    <w:rsid w:val="7FBF82CD"/>
    <w:rsid w:val="7FC5E823"/>
    <w:rsid w:val="7FCF800E"/>
    <w:rsid w:val="7FCF8808"/>
    <w:rsid w:val="7FD30532"/>
    <w:rsid w:val="7FD62988"/>
    <w:rsid w:val="7FD67E61"/>
    <w:rsid w:val="7FD7E96D"/>
    <w:rsid w:val="7FD9EEB5"/>
    <w:rsid w:val="7FDB2D09"/>
    <w:rsid w:val="7FDD3BFA"/>
    <w:rsid w:val="7FDD5A58"/>
    <w:rsid w:val="7FDD76F1"/>
    <w:rsid w:val="7FDD84DE"/>
    <w:rsid w:val="7FDECCDD"/>
    <w:rsid w:val="7FE73352"/>
    <w:rsid w:val="7FE7B335"/>
    <w:rsid w:val="7FE91A83"/>
    <w:rsid w:val="7FEB5850"/>
    <w:rsid w:val="7FED675E"/>
    <w:rsid w:val="7FEE4FEE"/>
    <w:rsid w:val="7FEE9084"/>
    <w:rsid w:val="7FEECB8F"/>
    <w:rsid w:val="7FEED2E9"/>
    <w:rsid w:val="7FEF20D7"/>
    <w:rsid w:val="7FEF8E34"/>
    <w:rsid w:val="7FEFA9E5"/>
    <w:rsid w:val="7FEFC3DC"/>
    <w:rsid w:val="7FF3EA6C"/>
    <w:rsid w:val="7FF4D3C4"/>
    <w:rsid w:val="7FF764C7"/>
    <w:rsid w:val="7FF7B42C"/>
    <w:rsid w:val="7FF90BAE"/>
    <w:rsid w:val="7FFA274F"/>
    <w:rsid w:val="7FFA41B0"/>
    <w:rsid w:val="7FFAA137"/>
    <w:rsid w:val="7FFAD98C"/>
    <w:rsid w:val="7FFB0118"/>
    <w:rsid w:val="7FFB0A0E"/>
    <w:rsid w:val="7FFB1B18"/>
    <w:rsid w:val="7FFB2F9E"/>
    <w:rsid w:val="7FFB5EAC"/>
    <w:rsid w:val="7FFBC742"/>
    <w:rsid w:val="7FFC6851"/>
    <w:rsid w:val="7FFCBD17"/>
    <w:rsid w:val="7FFD00F8"/>
    <w:rsid w:val="7FFD0247"/>
    <w:rsid w:val="7FFD0A0D"/>
    <w:rsid w:val="7FFD6B95"/>
    <w:rsid w:val="7FFD8544"/>
    <w:rsid w:val="7FFDD024"/>
    <w:rsid w:val="7FFDE5A7"/>
    <w:rsid w:val="7FFE2F07"/>
    <w:rsid w:val="7FFE4899"/>
    <w:rsid w:val="7FFE9816"/>
    <w:rsid w:val="7FFF015C"/>
    <w:rsid w:val="7FFF0777"/>
    <w:rsid w:val="7FFF1348"/>
    <w:rsid w:val="7FFF1C90"/>
    <w:rsid w:val="7FFF2934"/>
    <w:rsid w:val="7FFF3619"/>
    <w:rsid w:val="7FFF3E60"/>
    <w:rsid w:val="7FFF42EB"/>
    <w:rsid w:val="7FFF79F3"/>
    <w:rsid w:val="7FFF864E"/>
    <w:rsid w:val="7FFF96CC"/>
    <w:rsid w:val="7FFF9FA0"/>
    <w:rsid w:val="7FFFD92A"/>
    <w:rsid w:val="7FFFDBE7"/>
    <w:rsid w:val="7FFFDE35"/>
    <w:rsid w:val="7FFFE0CE"/>
    <w:rsid w:val="7FFFE271"/>
    <w:rsid w:val="7FFFFE3A"/>
    <w:rsid w:val="7FFFFEC2"/>
    <w:rsid w:val="85CD1E3B"/>
    <w:rsid w:val="86EFDD47"/>
    <w:rsid w:val="873F2367"/>
    <w:rsid w:val="87BD87A1"/>
    <w:rsid w:val="8BEADCE9"/>
    <w:rsid w:val="8CE3016F"/>
    <w:rsid w:val="8CFFE693"/>
    <w:rsid w:val="8DE9321C"/>
    <w:rsid w:val="8DEF3E86"/>
    <w:rsid w:val="8F56B7A3"/>
    <w:rsid w:val="8F97BE9F"/>
    <w:rsid w:val="8FFF0160"/>
    <w:rsid w:val="92F5EAE9"/>
    <w:rsid w:val="93DDB0BF"/>
    <w:rsid w:val="93FFF610"/>
    <w:rsid w:val="947FA87B"/>
    <w:rsid w:val="94DF1895"/>
    <w:rsid w:val="94F774EF"/>
    <w:rsid w:val="9559C099"/>
    <w:rsid w:val="95B93A31"/>
    <w:rsid w:val="95FBA523"/>
    <w:rsid w:val="96FFCA79"/>
    <w:rsid w:val="9737DD67"/>
    <w:rsid w:val="973F8B0D"/>
    <w:rsid w:val="977D771D"/>
    <w:rsid w:val="97F84A67"/>
    <w:rsid w:val="99FAF632"/>
    <w:rsid w:val="9AAB1015"/>
    <w:rsid w:val="9AD3302E"/>
    <w:rsid w:val="9B7F46BB"/>
    <w:rsid w:val="9BDDFBAE"/>
    <w:rsid w:val="9CFCE2DE"/>
    <w:rsid w:val="9D49C29B"/>
    <w:rsid w:val="9D4B5CFF"/>
    <w:rsid w:val="9D7F8E22"/>
    <w:rsid w:val="9DEA1BB2"/>
    <w:rsid w:val="9DED28D6"/>
    <w:rsid w:val="9DFBBF00"/>
    <w:rsid w:val="9DFF0544"/>
    <w:rsid w:val="9DFFE97C"/>
    <w:rsid w:val="9E1DDE32"/>
    <w:rsid w:val="9EB47623"/>
    <w:rsid w:val="9EFDBD29"/>
    <w:rsid w:val="9EFF3625"/>
    <w:rsid w:val="9F77A1E7"/>
    <w:rsid w:val="9F7AEAA1"/>
    <w:rsid w:val="9F7EB3F3"/>
    <w:rsid w:val="9F89456F"/>
    <w:rsid w:val="9FABD738"/>
    <w:rsid w:val="9FAD86A7"/>
    <w:rsid w:val="9FB7F147"/>
    <w:rsid w:val="9FBD1AD5"/>
    <w:rsid w:val="9FBFABA8"/>
    <w:rsid w:val="9FE35220"/>
    <w:rsid w:val="9FEE60D4"/>
    <w:rsid w:val="9FF85F4D"/>
    <w:rsid w:val="9FFEEA1A"/>
    <w:rsid w:val="9FFEF289"/>
    <w:rsid w:val="9FFF957D"/>
    <w:rsid w:val="9FFF9AC2"/>
    <w:rsid w:val="9FFFD178"/>
    <w:rsid w:val="9FFFFA2B"/>
    <w:rsid w:val="A133D5F2"/>
    <w:rsid w:val="A2DE8562"/>
    <w:rsid w:val="A3F78A9D"/>
    <w:rsid w:val="A3FE84ED"/>
    <w:rsid w:val="A4FE8EA6"/>
    <w:rsid w:val="A54F30C8"/>
    <w:rsid w:val="A5B9DFA5"/>
    <w:rsid w:val="A5D7D60E"/>
    <w:rsid w:val="A6F13DF3"/>
    <w:rsid w:val="A79F988E"/>
    <w:rsid w:val="A7F32C5E"/>
    <w:rsid w:val="A7FF856C"/>
    <w:rsid w:val="A93DD8F7"/>
    <w:rsid w:val="A95F7F85"/>
    <w:rsid w:val="A9915DA3"/>
    <w:rsid w:val="AAB530DF"/>
    <w:rsid w:val="AAE37BF1"/>
    <w:rsid w:val="ABBBCF25"/>
    <w:rsid w:val="ABBE9976"/>
    <w:rsid w:val="ABDEAA79"/>
    <w:rsid w:val="ABEDB1D7"/>
    <w:rsid w:val="ACB9DFCF"/>
    <w:rsid w:val="AD5F5AE9"/>
    <w:rsid w:val="ADFB3B25"/>
    <w:rsid w:val="AE2F2CF7"/>
    <w:rsid w:val="AE6F5F81"/>
    <w:rsid w:val="AEF73CD2"/>
    <w:rsid w:val="AEFD22F3"/>
    <w:rsid w:val="AEFFA940"/>
    <w:rsid w:val="AF2E85F5"/>
    <w:rsid w:val="AF6EA29F"/>
    <w:rsid w:val="AF874CF3"/>
    <w:rsid w:val="AF8D31FF"/>
    <w:rsid w:val="AF9CA16F"/>
    <w:rsid w:val="AF9E7488"/>
    <w:rsid w:val="AFBEC1B4"/>
    <w:rsid w:val="AFBFD9A3"/>
    <w:rsid w:val="AFD49D14"/>
    <w:rsid w:val="AFDBA861"/>
    <w:rsid w:val="AFDC2C70"/>
    <w:rsid w:val="AFDF5767"/>
    <w:rsid w:val="AFE5FB03"/>
    <w:rsid w:val="AFEAC9AF"/>
    <w:rsid w:val="AFEDEF40"/>
    <w:rsid w:val="AFF347FA"/>
    <w:rsid w:val="AFF4DDD9"/>
    <w:rsid w:val="AFFD269D"/>
    <w:rsid w:val="AFFE2D51"/>
    <w:rsid w:val="B37B8D64"/>
    <w:rsid w:val="B3E73200"/>
    <w:rsid w:val="B3FBE494"/>
    <w:rsid w:val="B4C74739"/>
    <w:rsid w:val="B54B5228"/>
    <w:rsid w:val="B57FC4C2"/>
    <w:rsid w:val="B5B8CB76"/>
    <w:rsid w:val="B5F69A0A"/>
    <w:rsid w:val="B5FFAD29"/>
    <w:rsid w:val="B62F3C99"/>
    <w:rsid w:val="B677F7CD"/>
    <w:rsid w:val="B69FFE17"/>
    <w:rsid w:val="B6DF9EEB"/>
    <w:rsid w:val="B6ED9DD7"/>
    <w:rsid w:val="B7675623"/>
    <w:rsid w:val="B79B0AF5"/>
    <w:rsid w:val="B7AC1BA2"/>
    <w:rsid w:val="B7BE4AEF"/>
    <w:rsid w:val="B7BE8A73"/>
    <w:rsid w:val="B7C70007"/>
    <w:rsid w:val="B7D25711"/>
    <w:rsid w:val="B7D2E054"/>
    <w:rsid w:val="B7E24E8B"/>
    <w:rsid w:val="B7E71AD2"/>
    <w:rsid w:val="B7F5C579"/>
    <w:rsid w:val="B7FCF867"/>
    <w:rsid w:val="B7FDC13C"/>
    <w:rsid w:val="B7FF11AB"/>
    <w:rsid w:val="B7FF971A"/>
    <w:rsid w:val="B7FF9D62"/>
    <w:rsid w:val="B8FE5AB5"/>
    <w:rsid w:val="B93FB804"/>
    <w:rsid w:val="B97C7C99"/>
    <w:rsid w:val="B9AA6F04"/>
    <w:rsid w:val="B9D7756A"/>
    <w:rsid w:val="B9DABEA1"/>
    <w:rsid w:val="B9F363D6"/>
    <w:rsid w:val="BA159A75"/>
    <w:rsid w:val="BA75AD12"/>
    <w:rsid w:val="BA7B23C6"/>
    <w:rsid w:val="BAC94355"/>
    <w:rsid w:val="BAD738F7"/>
    <w:rsid w:val="BAE7E2E0"/>
    <w:rsid w:val="BB5F82C5"/>
    <w:rsid w:val="BB6FC0EF"/>
    <w:rsid w:val="BB7FC584"/>
    <w:rsid w:val="BB875C3D"/>
    <w:rsid w:val="BB9D655D"/>
    <w:rsid w:val="BB9FF4CB"/>
    <w:rsid w:val="BBB74A6E"/>
    <w:rsid w:val="BBBE5375"/>
    <w:rsid w:val="BBBF34FF"/>
    <w:rsid w:val="BBCEA8BA"/>
    <w:rsid w:val="BBCFCBC4"/>
    <w:rsid w:val="BBE900DD"/>
    <w:rsid w:val="BBF7CD3A"/>
    <w:rsid w:val="BBFB87E6"/>
    <w:rsid w:val="BBFF263A"/>
    <w:rsid w:val="BC77589D"/>
    <w:rsid w:val="BC97372C"/>
    <w:rsid w:val="BCBFFEA1"/>
    <w:rsid w:val="BCEBDA61"/>
    <w:rsid w:val="BCEDFD0A"/>
    <w:rsid w:val="BCFFC753"/>
    <w:rsid w:val="BD54428A"/>
    <w:rsid w:val="BD5F08EC"/>
    <w:rsid w:val="BD6F7F12"/>
    <w:rsid w:val="BD7F5D06"/>
    <w:rsid w:val="BD9B1A9A"/>
    <w:rsid w:val="BDAF6051"/>
    <w:rsid w:val="BDB75AB8"/>
    <w:rsid w:val="BDB7B709"/>
    <w:rsid w:val="BDBFAAA2"/>
    <w:rsid w:val="BDDE757A"/>
    <w:rsid w:val="BDE654BC"/>
    <w:rsid w:val="BDE9A593"/>
    <w:rsid w:val="BDF4311C"/>
    <w:rsid w:val="BDF49AE8"/>
    <w:rsid w:val="BDF725E7"/>
    <w:rsid w:val="BDFD46BC"/>
    <w:rsid w:val="BDFF4D38"/>
    <w:rsid w:val="BE3AEF40"/>
    <w:rsid w:val="BE4F29C9"/>
    <w:rsid w:val="BE7F6E0E"/>
    <w:rsid w:val="BE973B7E"/>
    <w:rsid w:val="BE9B952A"/>
    <w:rsid w:val="BEA6B462"/>
    <w:rsid w:val="BED2BE33"/>
    <w:rsid w:val="BEF76C33"/>
    <w:rsid w:val="BEF95DEC"/>
    <w:rsid w:val="BEFA00ED"/>
    <w:rsid w:val="BEFC7206"/>
    <w:rsid w:val="BEFFAFAC"/>
    <w:rsid w:val="BEFFF043"/>
    <w:rsid w:val="BEFFF4AB"/>
    <w:rsid w:val="BF3FFD96"/>
    <w:rsid w:val="BF575236"/>
    <w:rsid w:val="BF5F224E"/>
    <w:rsid w:val="BF5FE9F9"/>
    <w:rsid w:val="BF626613"/>
    <w:rsid w:val="BF684F83"/>
    <w:rsid w:val="BF77A0AA"/>
    <w:rsid w:val="BF7F0416"/>
    <w:rsid w:val="BF7FD3B1"/>
    <w:rsid w:val="BF7FD430"/>
    <w:rsid w:val="BF89B3C8"/>
    <w:rsid w:val="BFAAD327"/>
    <w:rsid w:val="BFB3D61A"/>
    <w:rsid w:val="BFB989F8"/>
    <w:rsid w:val="BFBFD6BD"/>
    <w:rsid w:val="BFC2C6AA"/>
    <w:rsid w:val="BFCAB5DC"/>
    <w:rsid w:val="BFCAB982"/>
    <w:rsid w:val="BFCD7D95"/>
    <w:rsid w:val="BFD90CBD"/>
    <w:rsid w:val="BFDB2F49"/>
    <w:rsid w:val="BFDB4C99"/>
    <w:rsid w:val="BFDEF71D"/>
    <w:rsid w:val="BFEB26C7"/>
    <w:rsid w:val="BFEE0511"/>
    <w:rsid w:val="BFEE64E5"/>
    <w:rsid w:val="BFEEE3D5"/>
    <w:rsid w:val="BFEF5D0D"/>
    <w:rsid w:val="BFF63514"/>
    <w:rsid w:val="BFF7536C"/>
    <w:rsid w:val="BFFA4253"/>
    <w:rsid w:val="BFFB2138"/>
    <w:rsid w:val="BFFC08EE"/>
    <w:rsid w:val="BFFC1FA8"/>
    <w:rsid w:val="BFFD6FC5"/>
    <w:rsid w:val="BFFDA0ED"/>
    <w:rsid w:val="BFFDD29C"/>
    <w:rsid w:val="BFFE2511"/>
    <w:rsid w:val="BFFE5BE9"/>
    <w:rsid w:val="BFFEE115"/>
    <w:rsid w:val="BFFF2036"/>
    <w:rsid w:val="BFFF2233"/>
    <w:rsid w:val="BFFF5556"/>
    <w:rsid w:val="BFFFD702"/>
    <w:rsid w:val="BFFFF0D4"/>
    <w:rsid w:val="C3DDA19C"/>
    <w:rsid w:val="C3F7E08D"/>
    <w:rsid w:val="C4FFD38D"/>
    <w:rsid w:val="C5B6E49F"/>
    <w:rsid w:val="C5EC708B"/>
    <w:rsid w:val="C66FD793"/>
    <w:rsid w:val="C6CDC5F6"/>
    <w:rsid w:val="C7B7D447"/>
    <w:rsid w:val="C7DF3F5B"/>
    <w:rsid w:val="C7E7E14E"/>
    <w:rsid w:val="C7FF4535"/>
    <w:rsid w:val="C8F7BF54"/>
    <w:rsid w:val="C959D033"/>
    <w:rsid w:val="CBBFF5EE"/>
    <w:rsid w:val="CBCB121C"/>
    <w:rsid w:val="CBFC8F54"/>
    <w:rsid w:val="CCF020CA"/>
    <w:rsid w:val="CD3EDDE9"/>
    <w:rsid w:val="CD5AEFCA"/>
    <w:rsid w:val="CD5EB751"/>
    <w:rsid w:val="CDCBE9CE"/>
    <w:rsid w:val="CDE68054"/>
    <w:rsid w:val="CDEFC9F1"/>
    <w:rsid w:val="CDF4A5D9"/>
    <w:rsid w:val="CDF7FFAA"/>
    <w:rsid w:val="CE1FEE4B"/>
    <w:rsid w:val="CE6C6908"/>
    <w:rsid w:val="CE6E3DEC"/>
    <w:rsid w:val="CEB71770"/>
    <w:rsid w:val="CEE76CA1"/>
    <w:rsid w:val="CEFC9E41"/>
    <w:rsid w:val="CFB76867"/>
    <w:rsid w:val="CFBB32D7"/>
    <w:rsid w:val="CFBF204B"/>
    <w:rsid w:val="CFE72C7E"/>
    <w:rsid w:val="CFEB5AC1"/>
    <w:rsid w:val="CFED6A47"/>
    <w:rsid w:val="CFFE701B"/>
    <w:rsid w:val="CFFF7263"/>
    <w:rsid w:val="CFFFC4CD"/>
    <w:rsid w:val="D1BBCA7C"/>
    <w:rsid w:val="D1F7A5C1"/>
    <w:rsid w:val="D2DB9DAA"/>
    <w:rsid w:val="D335F9AF"/>
    <w:rsid w:val="D3749F6A"/>
    <w:rsid w:val="D37F4FDE"/>
    <w:rsid w:val="D39D6F2D"/>
    <w:rsid w:val="D3D7D1FA"/>
    <w:rsid w:val="D3DF2211"/>
    <w:rsid w:val="D3EFB485"/>
    <w:rsid w:val="D3F27AA6"/>
    <w:rsid w:val="D3F3861F"/>
    <w:rsid w:val="D59F6F03"/>
    <w:rsid w:val="D5F69771"/>
    <w:rsid w:val="D5FA8277"/>
    <w:rsid w:val="D5FE32AD"/>
    <w:rsid w:val="D6378320"/>
    <w:rsid w:val="D676A876"/>
    <w:rsid w:val="D69F21C8"/>
    <w:rsid w:val="D6CB287C"/>
    <w:rsid w:val="D6EC55D1"/>
    <w:rsid w:val="D6FC0F71"/>
    <w:rsid w:val="D71E5280"/>
    <w:rsid w:val="D73FA3C5"/>
    <w:rsid w:val="D77301CA"/>
    <w:rsid w:val="D79F5814"/>
    <w:rsid w:val="D7BDF660"/>
    <w:rsid w:val="D7BF27B1"/>
    <w:rsid w:val="D7CDBB4F"/>
    <w:rsid w:val="D7D25BAB"/>
    <w:rsid w:val="D7DFB316"/>
    <w:rsid w:val="D7EF0A23"/>
    <w:rsid w:val="D7F61A29"/>
    <w:rsid w:val="D7F7451E"/>
    <w:rsid w:val="D7FA7839"/>
    <w:rsid w:val="D7FAD7F2"/>
    <w:rsid w:val="D7FBD50A"/>
    <w:rsid w:val="D7FD2D1B"/>
    <w:rsid w:val="D7FF9310"/>
    <w:rsid w:val="D9274728"/>
    <w:rsid w:val="D997EE4C"/>
    <w:rsid w:val="D9DF7C6F"/>
    <w:rsid w:val="D9FF3C5A"/>
    <w:rsid w:val="DA37C3C3"/>
    <w:rsid w:val="DA4A4E45"/>
    <w:rsid w:val="DA4EB5A9"/>
    <w:rsid w:val="DA77983A"/>
    <w:rsid w:val="DA79DC53"/>
    <w:rsid w:val="DAEFFCF6"/>
    <w:rsid w:val="DB33A689"/>
    <w:rsid w:val="DB34E487"/>
    <w:rsid w:val="DB370D88"/>
    <w:rsid w:val="DB6B6AD0"/>
    <w:rsid w:val="DB76651C"/>
    <w:rsid w:val="DB7B234B"/>
    <w:rsid w:val="DB9F126E"/>
    <w:rsid w:val="DBB34E9A"/>
    <w:rsid w:val="DBBF5E7F"/>
    <w:rsid w:val="DBDF7F02"/>
    <w:rsid w:val="DBE618EB"/>
    <w:rsid w:val="DBEFD401"/>
    <w:rsid w:val="DBF5A7CE"/>
    <w:rsid w:val="DBF90F0E"/>
    <w:rsid w:val="DBFB63AA"/>
    <w:rsid w:val="DBFF46D9"/>
    <w:rsid w:val="DBFF6E28"/>
    <w:rsid w:val="DBFFCF3A"/>
    <w:rsid w:val="DBFFEEC8"/>
    <w:rsid w:val="DCF54A05"/>
    <w:rsid w:val="DCFD3889"/>
    <w:rsid w:val="DCFE1EFE"/>
    <w:rsid w:val="DD13D76D"/>
    <w:rsid w:val="DD15FF32"/>
    <w:rsid w:val="DDB5F9EF"/>
    <w:rsid w:val="DDBFF395"/>
    <w:rsid w:val="DDC207E7"/>
    <w:rsid w:val="DDCA308E"/>
    <w:rsid w:val="DDD5BEA5"/>
    <w:rsid w:val="DDD70108"/>
    <w:rsid w:val="DDD746A3"/>
    <w:rsid w:val="DDDB4539"/>
    <w:rsid w:val="DDFCE9B7"/>
    <w:rsid w:val="DDFD4FE8"/>
    <w:rsid w:val="DE330624"/>
    <w:rsid w:val="DE3A6E72"/>
    <w:rsid w:val="DE3F20BC"/>
    <w:rsid w:val="DE6D79DA"/>
    <w:rsid w:val="DE856E22"/>
    <w:rsid w:val="DE8EC4E3"/>
    <w:rsid w:val="DE9F1A82"/>
    <w:rsid w:val="DED8151B"/>
    <w:rsid w:val="DEDE4CCE"/>
    <w:rsid w:val="DEDFFAD2"/>
    <w:rsid w:val="DEE7A5CA"/>
    <w:rsid w:val="DEEB01FF"/>
    <w:rsid w:val="DEED6F57"/>
    <w:rsid w:val="DEEF272A"/>
    <w:rsid w:val="DEF1A11D"/>
    <w:rsid w:val="DEF3086F"/>
    <w:rsid w:val="DEFDB1F7"/>
    <w:rsid w:val="DEFF6B80"/>
    <w:rsid w:val="DF38C56B"/>
    <w:rsid w:val="DF3F34A4"/>
    <w:rsid w:val="DF4920A5"/>
    <w:rsid w:val="DF5BCF61"/>
    <w:rsid w:val="DF5FBA79"/>
    <w:rsid w:val="DF671B51"/>
    <w:rsid w:val="DF6C367E"/>
    <w:rsid w:val="DF75E71F"/>
    <w:rsid w:val="DF7B9A5D"/>
    <w:rsid w:val="DF7EC13E"/>
    <w:rsid w:val="DF7F4D84"/>
    <w:rsid w:val="DF7F7A4B"/>
    <w:rsid w:val="DF8B25E1"/>
    <w:rsid w:val="DFA7AC8C"/>
    <w:rsid w:val="DFAA26FA"/>
    <w:rsid w:val="DFBB1A1A"/>
    <w:rsid w:val="DFBB1E98"/>
    <w:rsid w:val="DFBC4434"/>
    <w:rsid w:val="DFBF3BBF"/>
    <w:rsid w:val="DFBF8FDD"/>
    <w:rsid w:val="DFCE6D54"/>
    <w:rsid w:val="DFD5A9D3"/>
    <w:rsid w:val="DFDD02C9"/>
    <w:rsid w:val="DFDD3822"/>
    <w:rsid w:val="DFDD74D7"/>
    <w:rsid w:val="DFDFBC66"/>
    <w:rsid w:val="DFDFDC71"/>
    <w:rsid w:val="DFE52DCD"/>
    <w:rsid w:val="DFE9661C"/>
    <w:rsid w:val="DFEB4ADC"/>
    <w:rsid w:val="DFEE586E"/>
    <w:rsid w:val="DFEEB774"/>
    <w:rsid w:val="DFEECEF4"/>
    <w:rsid w:val="DFEF5BD4"/>
    <w:rsid w:val="DFEFD79F"/>
    <w:rsid w:val="DFF1CC22"/>
    <w:rsid w:val="DFF46B8E"/>
    <w:rsid w:val="DFF4945E"/>
    <w:rsid w:val="DFF6A097"/>
    <w:rsid w:val="DFF7E9E8"/>
    <w:rsid w:val="DFFA513E"/>
    <w:rsid w:val="DFFB2650"/>
    <w:rsid w:val="DFFB2F0D"/>
    <w:rsid w:val="DFFBCA48"/>
    <w:rsid w:val="DFFC2B7B"/>
    <w:rsid w:val="DFFCCCAF"/>
    <w:rsid w:val="DFFDBD1C"/>
    <w:rsid w:val="DFFDE62D"/>
    <w:rsid w:val="DFFDFCD9"/>
    <w:rsid w:val="DFFEB971"/>
    <w:rsid w:val="DFFF011C"/>
    <w:rsid w:val="DFFF0AE5"/>
    <w:rsid w:val="DFFF13F8"/>
    <w:rsid w:val="DFFF41D5"/>
    <w:rsid w:val="DFFF8A05"/>
    <w:rsid w:val="DFFFA567"/>
    <w:rsid w:val="DFFFB832"/>
    <w:rsid w:val="DFFFE8E0"/>
    <w:rsid w:val="DFFFE8E2"/>
    <w:rsid w:val="DFFFFF0A"/>
    <w:rsid w:val="E1AFB7D2"/>
    <w:rsid w:val="E1E9F2E9"/>
    <w:rsid w:val="E34FD4A1"/>
    <w:rsid w:val="E37FF471"/>
    <w:rsid w:val="E38FA216"/>
    <w:rsid w:val="E3959D45"/>
    <w:rsid w:val="E39E393C"/>
    <w:rsid w:val="E3BA16B1"/>
    <w:rsid w:val="E3BFFC6F"/>
    <w:rsid w:val="E3DEA63E"/>
    <w:rsid w:val="E3FD8CC6"/>
    <w:rsid w:val="E4DFB5BB"/>
    <w:rsid w:val="E5CE5E98"/>
    <w:rsid w:val="E5DF28E4"/>
    <w:rsid w:val="E5F7FB9B"/>
    <w:rsid w:val="E66E70E8"/>
    <w:rsid w:val="E6B4115F"/>
    <w:rsid w:val="E6BFE70C"/>
    <w:rsid w:val="E6D296F1"/>
    <w:rsid w:val="E6FD5E22"/>
    <w:rsid w:val="E6FFFA61"/>
    <w:rsid w:val="E70A06C7"/>
    <w:rsid w:val="E73912E4"/>
    <w:rsid w:val="E7766B3B"/>
    <w:rsid w:val="E77F4964"/>
    <w:rsid w:val="E77F64D4"/>
    <w:rsid w:val="E7B79BAB"/>
    <w:rsid w:val="E7BE8753"/>
    <w:rsid w:val="E7E70989"/>
    <w:rsid w:val="E7E77299"/>
    <w:rsid w:val="E7EDCEFD"/>
    <w:rsid w:val="E7FBE0DF"/>
    <w:rsid w:val="E7FDBDCA"/>
    <w:rsid w:val="E9078A48"/>
    <w:rsid w:val="E9BFB063"/>
    <w:rsid w:val="E9DE4E97"/>
    <w:rsid w:val="E9F71EFB"/>
    <w:rsid w:val="E9FB2F63"/>
    <w:rsid w:val="E9FFBA7E"/>
    <w:rsid w:val="EA7DD110"/>
    <w:rsid w:val="EADE1F9B"/>
    <w:rsid w:val="EB2EA0C0"/>
    <w:rsid w:val="EB7A6BF6"/>
    <w:rsid w:val="EBBB92CF"/>
    <w:rsid w:val="EBE727D0"/>
    <w:rsid w:val="EBEF6B89"/>
    <w:rsid w:val="EBFC4BE4"/>
    <w:rsid w:val="EBFDD5BD"/>
    <w:rsid w:val="EBFDFD8A"/>
    <w:rsid w:val="EBFECA52"/>
    <w:rsid w:val="EC9FA01E"/>
    <w:rsid w:val="ECAE8611"/>
    <w:rsid w:val="ECD5FB84"/>
    <w:rsid w:val="ECDB4ACE"/>
    <w:rsid w:val="ED1BA948"/>
    <w:rsid w:val="EDDFED59"/>
    <w:rsid w:val="EDEFDF1A"/>
    <w:rsid w:val="EDF7A6DD"/>
    <w:rsid w:val="EDFF24E3"/>
    <w:rsid w:val="EDFF4349"/>
    <w:rsid w:val="EDFF9DA8"/>
    <w:rsid w:val="EDFFDA36"/>
    <w:rsid w:val="EDFFF074"/>
    <w:rsid w:val="EE1F7904"/>
    <w:rsid w:val="EE2F821F"/>
    <w:rsid w:val="EE7A19FA"/>
    <w:rsid w:val="EE7A4A80"/>
    <w:rsid w:val="EE7B2655"/>
    <w:rsid w:val="EE7D37DF"/>
    <w:rsid w:val="EE978746"/>
    <w:rsid w:val="EE9F3CAD"/>
    <w:rsid w:val="EEAF5EA0"/>
    <w:rsid w:val="EEB72697"/>
    <w:rsid w:val="EEBAED04"/>
    <w:rsid w:val="EED76856"/>
    <w:rsid w:val="EEEFD844"/>
    <w:rsid w:val="EEF6DF70"/>
    <w:rsid w:val="EEF776C5"/>
    <w:rsid w:val="EEFBDF17"/>
    <w:rsid w:val="EEFDA2FF"/>
    <w:rsid w:val="EEFF4FAA"/>
    <w:rsid w:val="EEFFF896"/>
    <w:rsid w:val="EF1ACC9A"/>
    <w:rsid w:val="EF1E35CB"/>
    <w:rsid w:val="EF2F94C2"/>
    <w:rsid w:val="EF3F5A13"/>
    <w:rsid w:val="EF3FE2FF"/>
    <w:rsid w:val="EF4FD111"/>
    <w:rsid w:val="EF579EBE"/>
    <w:rsid w:val="EF5EC2DA"/>
    <w:rsid w:val="EF5EF8B5"/>
    <w:rsid w:val="EF6A762F"/>
    <w:rsid w:val="EF7719F7"/>
    <w:rsid w:val="EF7DBA67"/>
    <w:rsid w:val="EF7DFF44"/>
    <w:rsid w:val="EF7FEC42"/>
    <w:rsid w:val="EF857295"/>
    <w:rsid w:val="EF9385C6"/>
    <w:rsid w:val="EF99DE19"/>
    <w:rsid w:val="EFA69A6D"/>
    <w:rsid w:val="EFAC012D"/>
    <w:rsid w:val="EFB7E4A9"/>
    <w:rsid w:val="EFBB6963"/>
    <w:rsid w:val="EFBD3804"/>
    <w:rsid w:val="EFBF29CB"/>
    <w:rsid w:val="EFBF6F0B"/>
    <w:rsid w:val="EFBFE45F"/>
    <w:rsid w:val="EFC7A7B8"/>
    <w:rsid w:val="EFCFAA8D"/>
    <w:rsid w:val="EFCFF4F6"/>
    <w:rsid w:val="EFD20C8C"/>
    <w:rsid w:val="EFDDB04A"/>
    <w:rsid w:val="EFE9DA96"/>
    <w:rsid w:val="EFEEE724"/>
    <w:rsid w:val="EFF31BB0"/>
    <w:rsid w:val="EFF55A3E"/>
    <w:rsid w:val="EFF666F9"/>
    <w:rsid w:val="EFF6F127"/>
    <w:rsid w:val="EFF7701A"/>
    <w:rsid w:val="EFFA3F94"/>
    <w:rsid w:val="EFFBA2FA"/>
    <w:rsid w:val="EFFC2196"/>
    <w:rsid w:val="EFFCBDAD"/>
    <w:rsid w:val="EFFEC188"/>
    <w:rsid w:val="EFFF1D88"/>
    <w:rsid w:val="EFFF4208"/>
    <w:rsid w:val="EFFF7652"/>
    <w:rsid w:val="EFFFE088"/>
    <w:rsid w:val="F04F979B"/>
    <w:rsid w:val="F0AF59DC"/>
    <w:rsid w:val="F14E1DD5"/>
    <w:rsid w:val="F194970D"/>
    <w:rsid w:val="F1DEE191"/>
    <w:rsid w:val="F1F75E9F"/>
    <w:rsid w:val="F1F936DE"/>
    <w:rsid w:val="F247BFAC"/>
    <w:rsid w:val="F2AEB311"/>
    <w:rsid w:val="F2DB6D39"/>
    <w:rsid w:val="F2EEF214"/>
    <w:rsid w:val="F2FB2D72"/>
    <w:rsid w:val="F2FF9607"/>
    <w:rsid w:val="F36FAE75"/>
    <w:rsid w:val="F37F08FE"/>
    <w:rsid w:val="F38D895D"/>
    <w:rsid w:val="F3AFA40A"/>
    <w:rsid w:val="F3B5C7DB"/>
    <w:rsid w:val="F3BC1B9A"/>
    <w:rsid w:val="F3BF0503"/>
    <w:rsid w:val="F3BF86D1"/>
    <w:rsid w:val="F3C77402"/>
    <w:rsid w:val="F3C90DEF"/>
    <w:rsid w:val="F3DAB896"/>
    <w:rsid w:val="F3DDC16F"/>
    <w:rsid w:val="F3F20C60"/>
    <w:rsid w:val="F3F3AEBB"/>
    <w:rsid w:val="F3F54342"/>
    <w:rsid w:val="F3F6DB62"/>
    <w:rsid w:val="F3FEB874"/>
    <w:rsid w:val="F3FF8440"/>
    <w:rsid w:val="F3FFBE16"/>
    <w:rsid w:val="F49F97C2"/>
    <w:rsid w:val="F4B29ABE"/>
    <w:rsid w:val="F4BF9621"/>
    <w:rsid w:val="F4DD3A0C"/>
    <w:rsid w:val="F53BEB01"/>
    <w:rsid w:val="F53FAF00"/>
    <w:rsid w:val="F57784A8"/>
    <w:rsid w:val="F57F20E5"/>
    <w:rsid w:val="F57FD7F6"/>
    <w:rsid w:val="F5AB067C"/>
    <w:rsid w:val="F5AF173A"/>
    <w:rsid w:val="F5BE298E"/>
    <w:rsid w:val="F5DB2EDE"/>
    <w:rsid w:val="F5DC56F0"/>
    <w:rsid w:val="F5DDE65B"/>
    <w:rsid w:val="F5EDFF42"/>
    <w:rsid w:val="F5EF6A82"/>
    <w:rsid w:val="F5F60817"/>
    <w:rsid w:val="F5FA1094"/>
    <w:rsid w:val="F5FA9D76"/>
    <w:rsid w:val="F5FAB13D"/>
    <w:rsid w:val="F5FF3CCB"/>
    <w:rsid w:val="F5FFC33A"/>
    <w:rsid w:val="F63601C0"/>
    <w:rsid w:val="F63FB10F"/>
    <w:rsid w:val="F65FAEC8"/>
    <w:rsid w:val="F66F1DF4"/>
    <w:rsid w:val="F6735B95"/>
    <w:rsid w:val="F695CB0B"/>
    <w:rsid w:val="F6977E36"/>
    <w:rsid w:val="F6BA26BB"/>
    <w:rsid w:val="F6CECC62"/>
    <w:rsid w:val="F6DACAB6"/>
    <w:rsid w:val="F6DF8777"/>
    <w:rsid w:val="F6DFC7E4"/>
    <w:rsid w:val="F6EA6C01"/>
    <w:rsid w:val="F6EB39A3"/>
    <w:rsid w:val="F6EBC3CB"/>
    <w:rsid w:val="F6F7413A"/>
    <w:rsid w:val="F6F9A5C0"/>
    <w:rsid w:val="F6FDAA2A"/>
    <w:rsid w:val="F6FDBFF0"/>
    <w:rsid w:val="F6FECA49"/>
    <w:rsid w:val="F71D79E3"/>
    <w:rsid w:val="F74F3FE6"/>
    <w:rsid w:val="F757FE54"/>
    <w:rsid w:val="F75D37D4"/>
    <w:rsid w:val="F75FC08E"/>
    <w:rsid w:val="F771EAEF"/>
    <w:rsid w:val="F7792545"/>
    <w:rsid w:val="F77D66A0"/>
    <w:rsid w:val="F77E256A"/>
    <w:rsid w:val="F77E5F01"/>
    <w:rsid w:val="F77F0C61"/>
    <w:rsid w:val="F77F27D0"/>
    <w:rsid w:val="F78E8138"/>
    <w:rsid w:val="F79FEFAC"/>
    <w:rsid w:val="F7BDAC55"/>
    <w:rsid w:val="F7BF110E"/>
    <w:rsid w:val="F7CAB356"/>
    <w:rsid w:val="F7D71DFD"/>
    <w:rsid w:val="F7DD6467"/>
    <w:rsid w:val="F7DD64DA"/>
    <w:rsid w:val="F7DE960F"/>
    <w:rsid w:val="F7DFAB82"/>
    <w:rsid w:val="F7E1980E"/>
    <w:rsid w:val="F7E7EB96"/>
    <w:rsid w:val="F7EE38FD"/>
    <w:rsid w:val="F7EE6DC9"/>
    <w:rsid w:val="F7F17CF2"/>
    <w:rsid w:val="F7F516E9"/>
    <w:rsid w:val="F7F6A70F"/>
    <w:rsid w:val="F7F7D222"/>
    <w:rsid w:val="F7FB7E85"/>
    <w:rsid w:val="F7FBFD68"/>
    <w:rsid w:val="F7FD423E"/>
    <w:rsid w:val="F7FD871A"/>
    <w:rsid w:val="F7FDFCF0"/>
    <w:rsid w:val="F7FEE53E"/>
    <w:rsid w:val="F7FF12C0"/>
    <w:rsid w:val="F7FF35EB"/>
    <w:rsid w:val="F7FF4134"/>
    <w:rsid w:val="F7FF7F12"/>
    <w:rsid w:val="F7FFA7C1"/>
    <w:rsid w:val="F7FFBC00"/>
    <w:rsid w:val="F7FFDD53"/>
    <w:rsid w:val="F7FFE24C"/>
    <w:rsid w:val="F85A9ECF"/>
    <w:rsid w:val="F85F1A1A"/>
    <w:rsid w:val="F89FADE1"/>
    <w:rsid w:val="F8A60304"/>
    <w:rsid w:val="F8AD22E8"/>
    <w:rsid w:val="F8AFD12B"/>
    <w:rsid w:val="F8E76D21"/>
    <w:rsid w:val="F8FC2495"/>
    <w:rsid w:val="F93FB58A"/>
    <w:rsid w:val="F97D43AD"/>
    <w:rsid w:val="F9BB09DC"/>
    <w:rsid w:val="F9C96587"/>
    <w:rsid w:val="F9CD5E49"/>
    <w:rsid w:val="F9CF8CB2"/>
    <w:rsid w:val="F9D973E2"/>
    <w:rsid w:val="F9D9AF98"/>
    <w:rsid w:val="F9E377B6"/>
    <w:rsid w:val="F9EF481E"/>
    <w:rsid w:val="F9F3B62F"/>
    <w:rsid w:val="F9FBD971"/>
    <w:rsid w:val="F9FC4BB2"/>
    <w:rsid w:val="F9FCE0D1"/>
    <w:rsid w:val="F9FDC8CF"/>
    <w:rsid w:val="F9FED62F"/>
    <w:rsid w:val="F9FF27A8"/>
    <w:rsid w:val="FA59C8ED"/>
    <w:rsid w:val="FA5DA317"/>
    <w:rsid w:val="FA6FC2FE"/>
    <w:rsid w:val="FA7A06FB"/>
    <w:rsid w:val="FA7D626C"/>
    <w:rsid w:val="FA7F0DE0"/>
    <w:rsid w:val="FA7F285F"/>
    <w:rsid w:val="FA7F96F0"/>
    <w:rsid w:val="FAABCEC9"/>
    <w:rsid w:val="FAB7E475"/>
    <w:rsid w:val="FABD603D"/>
    <w:rsid w:val="FABF2323"/>
    <w:rsid w:val="FAEDE806"/>
    <w:rsid w:val="FAF41D82"/>
    <w:rsid w:val="FAF788FB"/>
    <w:rsid w:val="FAFA2CA7"/>
    <w:rsid w:val="FAFF9D03"/>
    <w:rsid w:val="FB0D6EC9"/>
    <w:rsid w:val="FB13662D"/>
    <w:rsid w:val="FB39280B"/>
    <w:rsid w:val="FB3BD7B7"/>
    <w:rsid w:val="FB3FBE15"/>
    <w:rsid w:val="FB5712A7"/>
    <w:rsid w:val="FB57B09A"/>
    <w:rsid w:val="FB67106F"/>
    <w:rsid w:val="FB6E079A"/>
    <w:rsid w:val="FB7E255A"/>
    <w:rsid w:val="FB7EAE09"/>
    <w:rsid w:val="FB7F3052"/>
    <w:rsid w:val="FB7F6E51"/>
    <w:rsid w:val="FB85C6B6"/>
    <w:rsid w:val="FB97F290"/>
    <w:rsid w:val="FBBDF862"/>
    <w:rsid w:val="FBBF1CB9"/>
    <w:rsid w:val="FBCF338F"/>
    <w:rsid w:val="FBD00BE4"/>
    <w:rsid w:val="FBDA35D4"/>
    <w:rsid w:val="FBDAAF37"/>
    <w:rsid w:val="FBDDB296"/>
    <w:rsid w:val="FBDE20FC"/>
    <w:rsid w:val="FBDEFCBD"/>
    <w:rsid w:val="FBDF6D74"/>
    <w:rsid w:val="FBDF9EDC"/>
    <w:rsid w:val="FBDFE9C2"/>
    <w:rsid w:val="FBE27352"/>
    <w:rsid w:val="FBE540FA"/>
    <w:rsid w:val="FBEBE812"/>
    <w:rsid w:val="FBEE2EB9"/>
    <w:rsid w:val="FBEEA99F"/>
    <w:rsid w:val="FBF125CF"/>
    <w:rsid w:val="FBF3A842"/>
    <w:rsid w:val="FBF74370"/>
    <w:rsid w:val="FBF78AD1"/>
    <w:rsid w:val="FBFAADFB"/>
    <w:rsid w:val="FBFAC60A"/>
    <w:rsid w:val="FBFBCEF3"/>
    <w:rsid w:val="FBFD45B1"/>
    <w:rsid w:val="FBFE6DA3"/>
    <w:rsid w:val="FBFF442B"/>
    <w:rsid w:val="FBFF5A5B"/>
    <w:rsid w:val="FBFFA6B6"/>
    <w:rsid w:val="FBFFA6CB"/>
    <w:rsid w:val="FBFFBCC5"/>
    <w:rsid w:val="FC3E9299"/>
    <w:rsid w:val="FC6DDB4A"/>
    <w:rsid w:val="FC771A41"/>
    <w:rsid w:val="FC7B7AE1"/>
    <w:rsid w:val="FC9A1EE1"/>
    <w:rsid w:val="FCAEF9D3"/>
    <w:rsid w:val="FCBFE5A5"/>
    <w:rsid w:val="FCD752FA"/>
    <w:rsid w:val="FCD7D9D7"/>
    <w:rsid w:val="FCDB643B"/>
    <w:rsid w:val="FCDBEAEE"/>
    <w:rsid w:val="FCEE05A5"/>
    <w:rsid w:val="FCF33C99"/>
    <w:rsid w:val="FCF606C3"/>
    <w:rsid w:val="FCF99499"/>
    <w:rsid w:val="FCFB28EB"/>
    <w:rsid w:val="FCFB72B2"/>
    <w:rsid w:val="FCFBBD65"/>
    <w:rsid w:val="FCFF294E"/>
    <w:rsid w:val="FD1ED9A9"/>
    <w:rsid w:val="FD1EDFC0"/>
    <w:rsid w:val="FD1F28CD"/>
    <w:rsid w:val="FD1F57D0"/>
    <w:rsid w:val="FD338641"/>
    <w:rsid w:val="FD3A95D5"/>
    <w:rsid w:val="FD3F1EE8"/>
    <w:rsid w:val="FD5022E6"/>
    <w:rsid w:val="FD73F373"/>
    <w:rsid w:val="FD799BA6"/>
    <w:rsid w:val="FD7F85B0"/>
    <w:rsid w:val="FD7F8A89"/>
    <w:rsid w:val="FD9ECF3A"/>
    <w:rsid w:val="FDABA8D4"/>
    <w:rsid w:val="FDAF0805"/>
    <w:rsid w:val="FDB34903"/>
    <w:rsid w:val="FDB78EBE"/>
    <w:rsid w:val="FDBCE4AD"/>
    <w:rsid w:val="FDBEC6F6"/>
    <w:rsid w:val="FDBFCBFB"/>
    <w:rsid w:val="FDCE315D"/>
    <w:rsid w:val="FDCFFD48"/>
    <w:rsid w:val="FDD7A529"/>
    <w:rsid w:val="FDDFE2C3"/>
    <w:rsid w:val="FDEA2A97"/>
    <w:rsid w:val="FDEF1E84"/>
    <w:rsid w:val="FDEF5ECD"/>
    <w:rsid w:val="FDF7531D"/>
    <w:rsid w:val="FDFB83B1"/>
    <w:rsid w:val="FDFC2F90"/>
    <w:rsid w:val="FDFD381E"/>
    <w:rsid w:val="FDFDBD3D"/>
    <w:rsid w:val="FDFDEC81"/>
    <w:rsid w:val="FDFE0401"/>
    <w:rsid w:val="FDFE4BF8"/>
    <w:rsid w:val="FDFE5CFA"/>
    <w:rsid w:val="FDFE5F08"/>
    <w:rsid w:val="FDFE860C"/>
    <w:rsid w:val="FDFFF8E1"/>
    <w:rsid w:val="FE2D759E"/>
    <w:rsid w:val="FE3FD8F9"/>
    <w:rsid w:val="FE6F0312"/>
    <w:rsid w:val="FE734873"/>
    <w:rsid w:val="FE75C4D9"/>
    <w:rsid w:val="FE7B7CB0"/>
    <w:rsid w:val="FE9711BF"/>
    <w:rsid w:val="FE9F091F"/>
    <w:rsid w:val="FEAF2110"/>
    <w:rsid w:val="FEB780F4"/>
    <w:rsid w:val="FEB79AB9"/>
    <w:rsid w:val="FEB7B554"/>
    <w:rsid w:val="FEBB63A2"/>
    <w:rsid w:val="FEBE2684"/>
    <w:rsid w:val="FEBE2DD3"/>
    <w:rsid w:val="FEBF96FA"/>
    <w:rsid w:val="FEC593F4"/>
    <w:rsid w:val="FEDBEF53"/>
    <w:rsid w:val="FEDC4C23"/>
    <w:rsid w:val="FEDDC62A"/>
    <w:rsid w:val="FEDE6850"/>
    <w:rsid w:val="FEDEDA5E"/>
    <w:rsid w:val="FEDFE450"/>
    <w:rsid w:val="FEE57FE4"/>
    <w:rsid w:val="FEEB8D14"/>
    <w:rsid w:val="FEEBC550"/>
    <w:rsid w:val="FEECF044"/>
    <w:rsid w:val="FEEF0443"/>
    <w:rsid w:val="FEEF6FF7"/>
    <w:rsid w:val="FEEFFA69"/>
    <w:rsid w:val="FEF16509"/>
    <w:rsid w:val="FEF3096A"/>
    <w:rsid w:val="FEF90090"/>
    <w:rsid w:val="FEFB9449"/>
    <w:rsid w:val="FEFB9BCF"/>
    <w:rsid w:val="FEFBF30F"/>
    <w:rsid w:val="FEFBF750"/>
    <w:rsid w:val="FEFC3E03"/>
    <w:rsid w:val="FEFCD0E1"/>
    <w:rsid w:val="FEFD2ABB"/>
    <w:rsid w:val="FEFF1F71"/>
    <w:rsid w:val="FEFFA5BC"/>
    <w:rsid w:val="FEFFB641"/>
    <w:rsid w:val="FEFFE6A5"/>
    <w:rsid w:val="FF0DD55B"/>
    <w:rsid w:val="FF174FA7"/>
    <w:rsid w:val="FF1B45E5"/>
    <w:rsid w:val="FF305771"/>
    <w:rsid w:val="FF329451"/>
    <w:rsid w:val="FF355FF2"/>
    <w:rsid w:val="FF377B38"/>
    <w:rsid w:val="FF3B8C4E"/>
    <w:rsid w:val="FF3CB077"/>
    <w:rsid w:val="FF3E1000"/>
    <w:rsid w:val="FF3F288A"/>
    <w:rsid w:val="FF3FACC3"/>
    <w:rsid w:val="FF46A45C"/>
    <w:rsid w:val="FF567D0E"/>
    <w:rsid w:val="FF5D1FAB"/>
    <w:rsid w:val="FF5D4A28"/>
    <w:rsid w:val="FF5DE4C5"/>
    <w:rsid w:val="FF5E9FE9"/>
    <w:rsid w:val="FF5F6384"/>
    <w:rsid w:val="FF5FAACA"/>
    <w:rsid w:val="FF6777C3"/>
    <w:rsid w:val="FF6D38DD"/>
    <w:rsid w:val="FF6D7845"/>
    <w:rsid w:val="FF6DFD16"/>
    <w:rsid w:val="FF6E23D5"/>
    <w:rsid w:val="FF6F8F61"/>
    <w:rsid w:val="FF76DBB0"/>
    <w:rsid w:val="FF774A82"/>
    <w:rsid w:val="FF77AADA"/>
    <w:rsid w:val="FF783FA4"/>
    <w:rsid w:val="FF7CD14A"/>
    <w:rsid w:val="FF7D5C4D"/>
    <w:rsid w:val="FF7ECD1B"/>
    <w:rsid w:val="FF7F37E5"/>
    <w:rsid w:val="FF7F6C6C"/>
    <w:rsid w:val="FF7FB3E9"/>
    <w:rsid w:val="FF9B29EA"/>
    <w:rsid w:val="FF9F482C"/>
    <w:rsid w:val="FFA48E50"/>
    <w:rsid w:val="FFA7633E"/>
    <w:rsid w:val="FFAE854A"/>
    <w:rsid w:val="FFAFCD65"/>
    <w:rsid w:val="FFBF331F"/>
    <w:rsid w:val="FFBF542D"/>
    <w:rsid w:val="FFBF6414"/>
    <w:rsid w:val="FFBF7444"/>
    <w:rsid w:val="FFBFAC57"/>
    <w:rsid w:val="FFBFD99F"/>
    <w:rsid w:val="FFBFE18D"/>
    <w:rsid w:val="FFBFE80A"/>
    <w:rsid w:val="FFCD2928"/>
    <w:rsid w:val="FFD5B105"/>
    <w:rsid w:val="FFD6A5F2"/>
    <w:rsid w:val="FFD70689"/>
    <w:rsid w:val="FFD73896"/>
    <w:rsid w:val="FFD7C09F"/>
    <w:rsid w:val="FFD9D5CC"/>
    <w:rsid w:val="FFDAA828"/>
    <w:rsid w:val="FFDAB899"/>
    <w:rsid w:val="FFDB0F31"/>
    <w:rsid w:val="FFDF0904"/>
    <w:rsid w:val="FFDF33D6"/>
    <w:rsid w:val="FFDF7796"/>
    <w:rsid w:val="FFDFE97F"/>
    <w:rsid w:val="FFE58DD3"/>
    <w:rsid w:val="FFE58DE9"/>
    <w:rsid w:val="FFE716C5"/>
    <w:rsid w:val="FFE7D486"/>
    <w:rsid w:val="FFE902B4"/>
    <w:rsid w:val="FFE92EFA"/>
    <w:rsid w:val="FFEA4973"/>
    <w:rsid w:val="FFEC36C0"/>
    <w:rsid w:val="FFECAED5"/>
    <w:rsid w:val="FFECC3BC"/>
    <w:rsid w:val="FFED799C"/>
    <w:rsid w:val="FFEDE1A7"/>
    <w:rsid w:val="FFEE2ACA"/>
    <w:rsid w:val="FFEF0D72"/>
    <w:rsid w:val="FFEF18AA"/>
    <w:rsid w:val="FFEF294F"/>
    <w:rsid w:val="FFEF42D1"/>
    <w:rsid w:val="FFEF569C"/>
    <w:rsid w:val="FFEF5A9A"/>
    <w:rsid w:val="FFEFA01D"/>
    <w:rsid w:val="FFEFB4D1"/>
    <w:rsid w:val="FFEFC60A"/>
    <w:rsid w:val="FFEFC726"/>
    <w:rsid w:val="FFEFE645"/>
    <w:rsid w:val="FFF3358F"/>
    <w:rsid w:val="FFF36E0A"/>
    <w:rsid w:val="FFF54F30"/>
    <w:rsid w:val="FFF555D8"/>
    <w:rsid w:val="FFF5F3A1"/>
    <w:rsid w:val="FFF611E5"/>
    <w:rsid w:val="FFF629D3"/>
    <w:rsid w:val="FFF64ED8"/>
    <w:rsid w:val="FFF6DA84"/>
    <w:rsid w:val="FFF6FB97"/>
    <w:rsid w:val="FFF73A3E"/>
    <w:rsid w:val="FFF73A59"/>
    <w:rsid w:val="FFF7BDA1"/>
    <w:rsid w:val="FFF7EE7B"/>
    <w:rsid w:val="FFF7FAEC"/>
    <w:rsid w:val="FFF8AF85"/>
    <w:rsid w:val="FFF92A37"/>
    <w:rsid w:val="FFF93735"/>
    <w:rsid w:val="FFFA4EAA"/>
    <w:rsid w:val="FFFB5EC2"/>
    <w:rsid w:val="FFFB7FD2"/>
    <w:rsid w:val="FFFB87C2"/>
    <w:rsid w:val="FFFBC95A"/>
    <w:rsid w:val="FFFBD22A"/>
    <w:rsid w:val="FFFBD57D"/>
    <w:rsid w:val="FFFBF338"/>
    <w:rsid w:val="FFFC9033"/>
    <w:rsid w:val="FFFCDAAD"/>
    <w:rsid w:val="FFFD3CE0"/>
    <w:rsid w:val="FFFD432E"/>
    <w:rsid w:val="FFFD797C"/>
    <w:rsid w:val="FFFD7A3E"/>
    <w:rsid w:val="FFFDB707"/>
    <w:rsid w:val="FFFDBC05"/>
    <w:rsid w:val="FFFE0262"/>
    <w:rsid w:val="FFFE0617"/>
    <w:rsid w:val="FFFF1CB0"/>
    <w:rsid w:val="FFFF2226"/>
    <w:rsid w:val="FFFF3698"/>
    <w:rsid w:val="FFFF6788"/>
    <w:rsid w:val="FFFF737F"/>
    <w:rsid w:val="FFFFAB63"/>
    <w:rsid w:val="FFFFB6D5"/>
    <w:rsid w:val="FFFFBAFC"/>
    <w:rsid w:val="FFFFC6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rPr>
  </w:style>
  <w:style w:type="paragraph" w:styleId="3">
    <w:name w:val="Body Text"/>
    <w:basedOn w:val="1"/>
    <w:next w:val="1"/>
    <w:qFormat/>
    <w:uiPriority w:val="1"/>
    <w:pPr>
      <w:spacing w:before="8"/>
    </w:pPr>
    <w:rPr>
      <w:rFonts w:ascii="黑体" w:hAnsi="黑体" w:eastAsia="黑体" w:cs="黑体"/>
      <w:sz w:val="22"/>
      <w:szCs w:val="22"/>
    </w:rPr>
  </w:style>
  <w:style w:type="paragraph" w:styleId="4">
    <w:name w:val="Body Text Indent"/>
    <w:basedOn w:val="1"/>
    <w:qFormat/>
    <w:uiPriority w:val="0"/>
    <w:pPr>
      <w:ind w:left="200" w:leftChars="200"/>
    </w:pPr>
  </w:style>
  <w:style w:type="paragraph" w:styleId="5">
    <w:name w:val="footer"/>
    <w:basedOn w:val="1"/>
    <w:next w:val="3"/>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0"/>
    <w:rPr>
      <w:szCs w:val="22"/>
    </w:rPr>
  </w:style>
  <w:style w:type="paragraph" w:styleId="8">
    <w:name w:val="Normal (Web)"/>
    <w:basedOn w:val="1"/>
    <w:unhideWhenUsed/>
    <w:qFormat/>
    <w:uiPriority w:val="99"/>
    <w:rPr>
      <w:sz w:val="24"/>
    </w:rPr>
  </w:style>
  <w:style w:type="paragraph" w:styleId="9">
    <w:name w:val="Body Text First Indent 2"/>
    <w:basedOn w:val="4"/>
    <w:qFormat/>
    <w:uiPriority w:val="0"/>
    <w:pPr>
      <w:ind w:firstLine="20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3">
    <w:name w:val="列出段落1"/>
    <w:basedOn w:val="1"/>
    <w:qFormat/>
    <w:uiPriority w:val="34"/>
    <w:pPr>
      <w:ind w:firstLine="420" w:firstLineChars="200"/>
    </w:pPr>
  </w:style>
  <w:style w:type="paragraph" w:customStyle="1" w:styleId="14">
    <w:name w:val="Table Paragraph"/>
    <w:basedOn w:val="1"/>
    <w:qFormat/>
    <w:uiPriority w:val="1"/>
    <w:rPr>
      <w:rFonts w:ascii="宋体" w:hAnsi="宋体" w:cs="宋体"/>
    </w:rPr>
  </w:style>
  <w:style w:type="character" w:customStyle="1" w:styleId="15">
    <w:name w:val="font01"/>
    <w:basedOn w:val="12"/>
    <w:qFormat/>
    <w:uiPriority w:val="0"/>
    <w:rPr>
      <w:rFonts w:hint="default" w:ascii="Times New Roman" w:hAnsi="Times New Roman" w:cs="Times New Roman"/>
      <w:color w:val="000000"/>
      <w:sz w:val="18"/>
      <w:szCs w:val="18"/>
      <w:u w:val="none"/>
    </w:rPr>
  </w:style>
  <w:style w:type="character" w:customStyle="1" w:styleId="16">
    <w:name w:val="font11"/>
    <w:basedOn w:val="12"/>
    <w:qFormat/>
    <w:uiPriority w:val="0"/>
    <w:rPr>
      <w:rFonts w:hint="eastAsia" w:ascii="宋体" w:hAnsi="宋体" w:eastAsia="宋体" w:cs="宋体"/>
      <w:color w:val="000000"/>
      <w:sz w:val="18"/>
      <w:szCs w:val="18"/>
      <w:u w:val="none"/>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134</Pages>
  <Words>215865</Words>
  <Characters>229008</Characters>
  <Lines>173</Lines>
  <Paragraphs>472</Paragraphs>
  <TotalTime>25</TotalTime>
  <ScaleCrop>false</ScaleCrop>
  <LinksUpToDate>false</LinksUpToDate>
  <CharactersWithSpaces>229068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2018-07-27T23:11:00Z</dcterms:created>
  <dc:creator>d</dc:creator>
  <cp:lastModifiedBy>净松</cp:lastModifiedBy>
  <cp:lastPrinted>2022-04-14T23:43:00Z</cp:lastPrinted>
  <dcterms:modified xsi:type="dcterms:W3CDTF">2022-04-23T07:26:34Z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eyJoZGlkIjoiNmVkMzBiZjA3M2M4YTRmODAwYTVkODY3ZDNiMzMwZjIifQ==</vt:lpwstr>
  </property>
  <property fmtid="{D5CDD505-2E9C-101B-9397-08002B2CF9AE}" pid="4" name="ICV">
    <vt:lpwstr>DCEB0AEB127742B38CFE673B003987A4</vt:lpwstr>
  </property>
</Properties>
</file>